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609" w:rsidRDefault="00871609" w:rsidP="00871609">
      <w:pPr>
        <w:jc w:val="center"/>
        <w:rPr>
          <w:b/>
          <w:sz w:val="28"/>
          <w:szCs w:val="28"/>
          <w:lang w:val="en-US"/>
        </w:rPr>
      </w:pPr>
      <w:r w:rsidRPr="00871609">
        <w:rPr>
          <w:b/>
          <w:sz w:val="28"/>
          <w:szCs w:val="28"/>
        </w:rPr>
        <w:t xml:space="preserve">Перечень нормативно-правовых актов, содержащих обязательные требования, </w:t>
      </w:r>
    </w:p>
    <w:p w:rsidR="00985A2D" w:rsidRDefault="00871609" w:rsidP="00871609">
      <w:pPr>
        <w:jc w:val="center"/>
        <w:rPr>
          <w:b/>
          <w:sz w:val="28"/>
          <w:szCs w:val="28"/>
          <w:lang w:val="en-US"/>
        </w:rPr>
      </w:pPr>
      <w:r w:rsidRPr="00871609">
        <w:rPr>
          <w:b/>
          <w:sz w:val="28"/>
          <w:szCs w:val="28"/>
        </w:rPr>
        <w:t xml:space="preserve">оценка </w:t>
      </w:r>
      <w:proofErr w:type="gramStart"/>
      <w:r w:rsidRPr="00871609">
        <w:rPr>
          <w:b/>
          <w:sz w:val="28"/>
          <w:szCs w:val="28"/>
        </w:rPr>
        <w:t>соблюдения</w:t>
      </w:r>
      <w:proofErr w:type="gramEnd"/>
      <w:r w:rsidRPr="00871609">
        <w:rPr>
          <w:b/>
          <w:sz w:val="28"/>
          <w:szCs w:val="28"/>
        </w:rPr>
        <w:t xml:space="preserve"> которых является предметом муниципального жилищного контроля</w:t>
      </w:r>
    </w:p>
    <w:p w:rsidR="00871609" w:rsidRPr="00871609" w:rsidRDefault="00871609" w:rsidP="00871609">
      <w:pPr>
        <w:jc w:val="center"/>
        <w:rPr>
          <w:b/>
          <w:sz w:val="28"/>
          <w:szCs w:val="28"/>
          <w:lang w:val="en-US"/>
        </w:rPr>
      </w:pPr>
    </w:p>
    <w:tbl>
      <w:tblPr>
        <w:tblStyle w:val="a9"/>
        <w:tblW w:w="0" w:type="auto"/>
        <w:tblLook w:val="04A0" w:firstRow="1" w:lastRow="0" w:firstColumn="1" w:lastColumn="0" w:noHBand="0" w:noVBand="1"/>
      </w:tblPr>
      <w:tblGrid>
        <w:gridCol w:w="4928"/>
        <w:gridCol w:w="4929"/>
        <w:gridCol w:w="4929"/>
      </w:tblGrid>
      <w:tr w:rsidR="00871609" w:rsidRPr="00871609" w:rsidTr="00871609">
        <w:tc>
          <w:tcPr>
            <w:tcW w:w="4928" w:type="dxa"/>
          </w:tcPr>
          <w:p w:rsidR="00871609" w:rsidRPr="006A5419" w:rsidRDefault="00871609" w:rsidP="00871609">
            <w:pPr>
              <w:jc w:val="center"/>
              <w:rPr>
                <w:b/>
                <w:sz w:val="24"/>
                <w:szCs w:val="24"/>
              </w:rPr>
            </w:pPr>
            <w:r w:rsidRPr="006A5419">
              <w:rPr>
                <w:b/>
                <w:sz w:val="24"/>
                <w:szCs w:val="24"/>
              </w:rPr>
              <w:t>Наименование и реквизиты нормативно-правовых актов, содержащих обязательные требования</w:t>
            </w:r>
          </w:p>
        </w:tc>
        <w:tc>
          <w:tcPr>
            <w:tcW w:w="4929" w:type="dxa"/>
          </w:tcPr>
          <w:p w:rsidR="00871609" w:rsidRPr="006A5419" w:rsidRDefault="00871609" w:rsidP="00825530">
            <w:pPr>
              <w:jc w:val="center"/>
              <w:rPr>
                <w:b/>
                <w:sz w:val="24"/>
                <w:szCs w:val="24"/>
              </w:rPr>
            </w:pPr>
            <w:r w:rsidRPr="006A5419">
              <w:rPr>
                <w:b/>
                <w:sz w:val="24"/>
                <w:szCs w:val="24"/>
              </w:rPr>
              <w:t xml:space="preserve">Статья, часть или иные структурные единицы нормативного правового акта, содержащие обязательные требования </w:t>
            </w:r>
          </w:p>
        </w:tc>
        <w:tc>
          <w:tcPr>
            <w:tcW w:w="4929" w:type="dxa"/>
          </w:tcPr>
          <w:p w:rsidR="00871609" w:rsidRPr="006A5419" w:rsidRDefault="00871609" w:rsidP="00871609">
            <w:pPr>
              <w:jc w:val="center"/>
              <w:rPr>
                <w:b/>
                <w:sz w:val="24"/>
                <w:szCs w:val="24"/>
              </w:rPr>
            </w:pPr>
            <w:r w:rsidRPr="006A5419">
              <w:rPr>
                <w:b/>
                <w:sz w:val="24"/>
                <w:szCs w:val="24"/>
              </w:rPr>
              <w:t>Категории лиц, обязанных соблюдать установленные нормативным правовым актом обязательные требования</w:t>
            </w:r>
          </w:p>
        </w:tc>
      </w:tr>
      <w:tr w:rsidR="00871609" w:rsidRPr="00871609" w:rsidTr="009A7FBD">
        <w:tc>
          <w:tcPr>
            <w:tcW w:w="4928" w:type="dxa"/>
          </w:tcPr>
          <w:p w:rsidR="00871609" w:rsidRPr="006A5419" w:rsidRDefault="0035559B" w:rsidP="009A7FBD">
            <w:pPr>
              <w:rPr>
                <w:sz w:val="24"/>
                <w:szCs w:val="24"/>
              </w:rPr>
            </w:pPr>
            <w:hyperlink r:id="rId5" w:history="1">
              <w:r w:rsidR="00871609" w:rsidRPr="0035559B">
                <w:rPr>
                  <w:rStyle w:val="aa"/>
                  <w:sz w:val="24"/>
                  <w:szCs w:val="24"/>
                </w:rPr>
                <w:t>Жилищный кодекс Российской Федерации</w:t>
              </w:r>
            </w:hyperlink>
          </w:p>
        </w:tc>
        <w:tc>
          <w:tcPr>
            <w:tcW w:w="4929" w:type="dxa"/>
          </w:tcPr>
          <w:p w:rsidR="00871609" w:rsidRPr="006A5419" w:rsidRDefault="00825530" w:rsidP="006A5419">
            <w:pPr>
              <w:rPr>
                <w:sz w:val="24"/>
                <w:szCs w:val="24"/>
              </w:rPr>
            </w:pPr>
            <w:r w:rsidRPr="006A5419">
              <w:rPr>
                <w:sz w:val="24"/>
                <w:szCs w:val="24"/>
              </w:rPr>
              <w:t>статья 20</w:t>
            </w:r>
          </w:p>
        </w:tc>
        <w:tc>
          <w:tcPr>
            <w:tcW w:w="4929" w:type="dxa"/>
          </w:tcPr>
          <w:p w:rsidR="00871609" w:rsidRPr="006A5419" w:rsidRDefault="009A7FBD" w:rsidP="009A7FBD">
            <w:pPr>
              <w:rPr>
                <w:sz w:val="24"/>
                <w:szCs w:val="24"/>
              </w:rPr>
            </w:pPr>
            <w:r w:rsidRPr="006A5419">
              <w:rPr>
                <w:sz w:val="24"/>
                <w:szCs w:val="24"/>
              </w:rPr>
              <w:t>юридические лица, индивидуальные предприниматели и граждане</w:t>
            </w:r>
          </w:p>
        </w:tc>
      </w:tr>
      <w:tr w:rsidR="00871609" w:rsidRPr="00871609" w:rsidTr="009A7FBD">
        <w:tc>
          <w:tcPr>
            <w:tcW w:w="4928" w:type="dxa"/>
          </w:tcPr>
          <w:p w:rsidR="00871609" w:rsidRPr="006A5419" w:rsidRDefault="0035559B" w:rsidP="009A7FBD">
            <w:pPr>
              <w:rPr>
                <w:sz w:val="24"/>
                <w:szCs w:val="24"/>
              </w:rPr>
            </w:pPr>
            <w:hyperlink r:id="rId6" w:history="1">
              <w:r w:rsidR="00871609" w:rsidRPr="0035559B">
                <w:rPr>
                  <w:rStyle w:val="aa"/>
                  <w:sz w:val="24"/>
                  <w:szCs w:val="24"/>
                </w:rPr>
                <w:t>Постановления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p>
        </w:tc>
        <w:tc>
          <w:tcPr>
            <w:tcW w:w="4929" w:type="dxa"/>
          </w:tcPr>
          <w:p w:rsidR="00825530" w:rsidRPr="006A5419" w:rsidRDefault="00825530" w:rsidP="006A5419">
            <w:pPr>
              <w:widowControl w:val="0"/>
              <w:ind w:left="-60"/>
              <w:rPr>
                <w:color w:val="000000"/>
                <w:sz w:val="24"/>
                <w:szCs w:val="24"/>
              </w:rPr>
            </w:pPr>
            <w:r w:rsidRPr="006A5419">
              <w:rPr>
                <w:color w:val="000000"/>
                <w:sz w:val="24"/>
                <w:szCs w:val="24"/>
              </w:rPr>
              <w:t>статья 10, статья 11, статья 12, статья 13, статья 14, статья 15, статья 16, статья 17, статья 18, статья 19, статья 20, статья 21, статья 22, статья 23, статья 24, статья 25, статья 26, статья 27</w:t>
            </w:r>
          </w:p>
          <w:p w:rsidR="00871609" w:rsidRPr="006A5419" w:rsidRDefault="00871609" w:rsidP="006A5419">
            <w:pPr>
              <w:rPr>
                <w:sz w:val="24"/>
                <w:szCs w:val="24"/>
              </w:rPr>
            </w:pPr>
          </w:p>
        </w:tc>
        <w:tc>
          <w:tcPr>
            <w:tcW w:w="4929" w:type="dxa"/>
          </w:tcPr>
          <w:p w:rsidR="00871609" w:rsidRPr="006A5419" w:rsidRDefault="009A7FBD" w:rsidP="009A7FBD">
            <w:pPr>
              <w:rPr>
                <w:sz w:val="24"/>
                <w:szCs w:val="24"/>
              </w:rPr>
            </w:pPr>
            <w:r w:rsidRPr="006A5419">
              <w:rPr>
                <w:sz w:val="24"/>
                <w:szCs w:val="24"/>
              </w:rPr>
              <w:t>юридические лица, индивидуальные предприниматели и граждане</w:t>
            </w:r>
          </w:p>
        </w:tc>
      </w:tr>
      <w:tr w:rsidR="00871609" w:rsidRPr="00871609" w:rsidTr="009A7FBD">
        <w:tc>
          <w:tcPr>
            <w:tcW w:w="4928" w:type="dxa"/>
          </w:tcPr>
          <w:p w:rsidR="00871609" w:rsidRPr="006A5419" w:rsidRDefault="00B95A87" w:rsidP="009A7FBD">
            <w:pPr>
              <w:rPr>
                <w:sz w:val="24"/>
                <w:szCs w:val="24"/>
              </w:rPr>
            </w:pPr>
            <w:hyperlink r:id="rId7" w:history="1">
              <w:r w:rsidR="00871609" w:rsidRPr="00B95A87">
                <w:rPr>
                  <w:rStyle w:val="aa"/>
                  <w:sz w:val="24"/>
                  <w:szCs w:val="24"/>
                </w:rPr>
                <w:t>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hyperlink>
          </w:p>
        </w:tc>
        <w:tc>
          <w:tcPr>
            <w:tcW w:w="4929" w:type="dxa"/>
          </w:tcPr>
          <w:p w:rsidR="00825530" w:rsidRPr="006A5419" w:rsidRDefault="00825530" w:rsidP="006A5419">
            <w:pPr>
              <w:widowControl w:val="0"/>
              <w:ind w:left="1111" w:right="-42" w:hanging="1085"/>
              <w:rPr>
                <w:color w:val="000000"/>
                <w:sz w:val="24"/>
                <w:szCs w:val="24"/>
              </w:rPr>
            </w:pPr>
            <w:r w:rsidRPr="006A5419">
              <w:rPr>
                <w:color w:val="000000"/>
                <w:sz w:val="24"/>
                <w:szCs w:val="24"/>
              </w:rPr>
              <w:t>пункт 3, пункт 4, пункт 5, пункт 6</w:t>
            </w:r>
          </w:p>
          <w:p w:rsidR="00871609" w:rsidRPr="006A5419" w:rsidRDefault="00871609" w:rsidP="006A5419">
            <w:pPr>
              <w:rPr>
                <w:sz w:val="24"/>
                <w:szCs w:val="24"/>
              </w:rPr>
            </w:pPr>
          </w:p>
        </w:tc>
        <w:tc>
          <w:tcPr>
            <w:tcW w:w="4929" w:type="dxa"/>
          </w:tcPr>
          <w:p w:rsidR="00871609" w:rsidRPr="006A5419" w:rsidRDefault="009A7FBD" w:rsidP="009A7FBD">
            <w:pPr>
              <w:rPr>
                <w:sz w:val="24"/>
                <w:szCs w:val="24"/>
              </w:rPr>
            </w:pPr>
            <w:r w:rsidRPr="006A5419">
              <w:rPr>
                <w:sz w:val="24"/>
                <w:szCs w:val="24"/>
              </w:rPr>
              <w:t>юридические лица, индивидуальные предприниматели и граждане</w:t>
            </w:r>
          </w:p>
        </w:tc>
      </w:tr>
      <w:tr w:rsidR="00871609" w:rsidRPr="00871609" w:rsidTr="009A7FBD">
        <w:tc>
          <w:tcPr>
            <w:tcW w:w="4928" w:type="dxa"/>
          </w:tcPr>
          <w:p w:rsidR="00871609" w:rsidRPr="006A5419" w:rsidRDefault="00B95A87" w:rsidP="009A7FBD">
            <w:pPr>
              <w:rPr>
                <w:sz w:val="24"/>
                <w:szCs w:val="24"/>
              </w:rPr>
            </w:pPr>
            <w:hyperlink r:id="rId8" w:history="1">
              <w:r w:rsidR="009A7FBD" w:rsidRPr="00B95A87">
                <w:rPr>
                  <w:rStyle w:val="aa"/>
                  <w:sz w:val="24"/>
                  <w:szCs w:val="24"/>
                </w:rPr>
                <w:t>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hyperlink>
          </w:p>
        </w:tc>
        <w:tc>
          <w:tcPr>
            <w:tcW w:w="4929" w:type="dxa"/>
          </w:tcPr>
          <w:p w:rsidR="00825530" w:rsidRPr="006A5419" w:rsidRDefault="00825530" w:rsidP="006A5419">
            <w:pPr>
              <w:rPr>
                <w:sz w:val="24"/>
                <w:szCs w:val="24"/>
              </w:rPr>
            </w:pPr>
            <w:proofErr w:type="gramStart"/>
            <w:r w:rsidRPr="006A5419">
              <w:rPr>
                <w:sz w:val="24"/>
                <w:szCs w:val="24"/>
              </w:rPr>
              <w:t>пункт 1, пункт 2, пункт 4, пункт 5, пункт 6, пункт 7, пункт 8, пункт 9, пункт 10, пункт 11, пункт 12, пункт 13, пункт 14, пункт 15, пункт 16, пункт 17, пункт 18, пункт 19, пункт 20, пункт 21, пункт 22, пункт 23, пункт 24, пункт 25, пункт 26, пункт 26(1), пункт 26(2)</w:t>
            </w:r>
            <w:proofErr w:type="gramEnd"/>
          </w:p>
          <w:p w:rsidR="00871609" w:rsidRPr="006A5419" w:rsidRDefault="00871609" w:rsidP="006A5419">
            <w:pPr>
              <w:rPr>
                <w:sz w:val="24"/>
                <w:szCs w:val="24"/>
              </w:rPr>
            </w:pPr>
          </w:p>
        </w:tc>
        <w:tc>
          <w:tcPr>
            <w:tcW w:w="4929" w:type="dxa"/>
          </w:tcPr>
          <w:p w:rsidR="00871609" w:rsidRPr="006A5419" w:rsidRDefault="009A7FBD" w:rsidP="009A7FBD">
            <w:pPr>
              <w:rPr>
                <w:sz w:val="24"/>
                <w:szCs w:val="24"/>
              </w:rPr>
            </w:pPr>
            <w:r w:rsidRPr="006A5419">
              <w:rPr>
                <w:sz w:val="24"/>
                <w:szCs w:val="24"/>
              </w:rPr>
              <w:t>юридические лица, индивидуальные предприниматели и граждане</w:t>
            </w:r>
          </w:p>
        </w:tc>
      </w:tr>
      <w:tr w:rsidR="00871609" w:rsidRPr="00871609" w:rsidTr="009A7FBD">
        <w:tc>
          <w:tcPr>
            <w:tcW w:w="4928" w:type="dxa"/>
          </w:tcPr>
          <w:p w:rsidR="00871609" w:rsidRPr="006A5419" w:rsidRDefault="00B95A87" w:rsidP="009A7FBD">
            <w:pPr>
              <w:rPr>
                <w:sz w:val="24"/>
                <w:szCs w:val="24"/>
              </w:rPr>
            </w:pPr>
            <w:hyperlink r:id="rId9" w:history="1">
              <w:r w:rsidR="009A7FBD" w:rsidRPr="00B95A87">
                <w:rPr>
                  <w:rStyle w:val="aa"/>
                  <w:sz w:val="24"/>
                  <w:szCs w:val="24"/>
                </w:rPr>
                <w:t xml:space="preserve">Постановление Госстроя РФ от 27.09.2003 № </w:t>
              </w:r>
              <w:r w:rsidR="009A7FBD" w:rsidRPr="00B95A87">
                <w:rPr>
                  <w:rStyle w:val="aa"/>
                  <w:sz w:val="24"/>
                  <w:szCs w:val="24"/>
                </w:rPr>
                <w:lastRenderedPageBreak/>
                <w:t>170 «Об утверждении Правил и норм технической эксплуатации жилищного фонда»</w:t>
              </w:r>
            </w:hyperlink>
          </w:p>
        </w:tc>
        <w:tc>
          <w:tcPr>
            <w:tcW w:w="4929" w:type="dxa"/>
          </w:tcPr>
          <w:p w:rsidR="00825530" w:rsidRPr="006A5419" w:rsidRDefault="00825530" w:rsidP="006A5419">
            <w:pPr>
              <w:rPr>
                <w:sz w:val="24"/>
                <w:szCs w:val="24"/>
              </w:rPr>
            </w:pPr>
            <w:r w:rsidRPr="006A5419">
              <w:rPr>
                <w:sz w:val="24"/>
                <w:szCs w:val="24"/>
              </w:rPr>
              <w:lastRenderedPageBreak/>
              <w:t xml:space="preserve">глава 2, глава </w:t>
            </w:r>
            <w:bookmarkStart w:id="0" w:name="_GoBack"/>
            <w:bookmarkEnd w:id="0"/>
            <w:r w:rsidRPr="006A5419">
              <w:rPr>
                <w:sz w:val="24"/>
                <w:szCs w:val="24"/>
              </w:rPr>
              <w:t>3, глава 4</w:t>
            </w:r>
          </w:p>
          <w:p w:rsidR="00871609" w:rsidRPr="006A5419" w:rsidRDefault="00871609" w:rsidP="006A5419">
            <w:pPr>
              <w:rPr>
                <w:sz w:val="24"/>
                <w:szCs w:val="24"/>
              </w:rPr>
            </w:pPr>
          </w:p>
        </w:tc>
        <w:tc>
          <w:tcPr>
            <w:tcW w:w="4929" w:type="dxa"/>
          </w:tcPr>
          <w:p w:rsidR="00871609" w:rsidRPr="006A5419" w:rsidRDefault="009A7FBD" w:rsidP="009A7FBD">
            <w:pPr>
              <w:rPr>
                <w:sz w:val="24"/>
                <w:szCs w:val="24"/>
              </w:rPr>
            </w:pPr>
            <w:r w:rsidRPr="006A5419">
              <w:rPr>
                <w:sz w:val="24"/>
                <w:szCs w:val="24"/>
              </w:rPr>
              <w:lastRenderedPageBreak/>
              <w:t xml:space="preserve">юридические лица, индивидуальные </w:t>
            </w:r>
            <w:r w:rsidRPr="006A5419">
              <w:rPr>
                <w:sz w:val="24"/>
                <w:szCs w:val="24"/>
              </w:rPr>
              <w:lastRenderedPageBreak/>
              <w:t>предприниматели и граждане</w:t>
            </w:r>
          </w:p>
        </w:tc>
      </w:tr>
    </w:tbl>
    <w:p w:rsidR="009A7FBD" w:rsidRPr="009A7FBD" w:rsidRDefault="009A7FBD" w:rsidP="009A7FBD">
      <w:pPr>
        <w:jc w:val="center"/>
        <w:rPr>
          <w:b/>
          <w:sz w:val="28"/>
          <w:szCs w:val="28"/>
        </w:rPr>
      </w:pPr>
    </w:p>
    <w:p w:rsidR="00871609" w:rsidRPr="009A7FBD" w:rsidRDefault="009A7FBD" w:rsidP="009A7FBD">
      <w:pPr>
        <w:ind w:firstLine="708"/>
        <w:jc w:val="both"/>
        <w:rPr>
          <w:sz w:val="28"/>
          <w:szCs w:val="28"/>
        </w:rPr>
      </w:pPr>
      <w:r w:rsidRPr="009A7FBD">
        <w:rPr>
          <w:sz w:val="28"/>
          <w:szCs w:val="28"/>
        </w:rPr>
        <w:t>Невыполнение в установленный срок законного предписания (постановления, представления, решения) органа (должностного лица), осуществляющего муниципальный жилищный контроль, об устранении нарушений законодатель</w:t>
      </w:r>
      <w:proofErr w:type="gramStart"/>
      <w:r w:rsidRPr="009A7FBD">
        <w:rPr>
          <w:sz w:val="28"/>
          <w:szCs w:val="28"/>
        </w:rPr>
        <w:t>ств вл</w:t>
      </w:r>
      <w:proofErr w:type="gramEnd"/>
      <w:r w:rsidRPr="009A7FBD">
        <w:rPr>
          <w:sz w:val="28"/>
          <w:szCs w:val="28"/>
        </w:rPr>
        <w:t>ечет административную ответственность, предусмотренную ч. 1 ст. 19.5 Кодекса Российской Федерации об административных правонарушениях» от 30.12.2001 № 195-ФЗ.</w:t>
      </w:r>
    </w:p>
    <w:sectPr w:rsidR="00871609" w:rsidRPr="009A7FBD" w:rsidSect="00871609">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609"/>
    <w:rsid w:val="0035559B"/>
    <w:rsid w:val="006A5419"/>
    <w:rsid w:val="00825530"/>
    <w:rsid w:val="00871609"/>
    <w:rsid w:val="00985A2D"/>
    <w:rsid w:val="009A7FBD"/>
    <w:rsid w:val="00B95A87"/>
    <w:rsid w:val="00C73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E37"/>
    <w:pPr>
      <w:suppressAutoHyphens/>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C73E37"/>
    <w:pPr>
      <w:keepNext/>
      <w:spacing w:before="240" w:after="120"/>
    </w:pPr>
    <w:rPr>
      <w:rFonts w:ascii="Arial" w:eastAsia="Lucida Sans Unicode" w:hAnsi="Arial" w:cs="Tahoma"/>
      <w:sz w:val="28"/>
      <w:szCs w:val="28"/>
    </w:rPr>
  </w:style>
  <w:style w:type="character" w:customStyle="1" w:styleId="a5">
    <w:name w:val="Название Знак"/>
    <w:basedOn w:val="a0"/>
    <w:link w:val="a3"/>
    <w:rsid w:val="00C73E37"/>
    <w:rPr>
      <w:rFonts w:ascii="Arial" w:eastAsia="Lucida Sans Unicode" w:hAnsi="Arial" w:cs="Tahoma"/>
      <w:sz w:val="28"/>
      <w:szCs w:val="28"/>
    </w:rPr>
  </w:style>
  <w:style w:type="paragraph" w:styleId="a4">
    <w:name w:val="Body Text"/>
    <w:basedOn w:val="a"/>
    <w:link w:val="a6"/>
    <w:uiPriority w:val="99"/>
    <w:semiHidden/>
    <w:unhideWhenUsed/>
    <w:rsid w:val="00C73E37"/>
    <w:pPr>
      <w:spacing w:after="120"/>
    </w:pPr>
  </w:style>
  <w:style w:type="character" w:customStyle="1" w:styleId="a6">
    <w:name w:val="Основной текст Знак"/>
    <w:basedOn w:val="a0"/>
    <w:link w:val="a4"/>
    <w:uiPriority w:val="99"/>
    <w:semiHidden/>
    <w:rsid w:val="00C73E37"/>
  </w:style>
  <w:style w:type="paragraph" w:styleId="a7">
    <w:name w:val="Subtitle"/>
    <w:basedOn w:val="a3"/>
    <w:next w:val="a4"/>
    <w:link w:val="a8"/>
    <w:qFormat/>
    <w:rsid w:val="00C73E37"/>
    <w:pPr>
      <w:jc w:val="center"/>
    </w:pPr>
    <w:rPr>
      <w:i/>
      <w:iCs/>
    </w:rPr>
  </w:style>
  <w:style w:type="character" w:customStyle="1" w:styleId="a8">
    <w:name w:val="Подзаголовок Знак"/>
    <w:basedOn w:val="a0"/>
    <w:link w:val="a7"/>
    <w:rsid w:val="00C73E37"/>
    <w:rPr>
      <w:rFonts w:ascii="Arial" w:eastAsia="Lucida Sans Unicode" w:hAnsi="Arial" w:cs="Tahoma"/>
      <w:i/>
      <w:iCs/>
      <w:sz w:val="28"/>
      <w:szCs w:val="28"/>
    </w:rPr>
  </w:style>
  <w:style w:type="table" w:styleId="a9">
    <w:name w:val="Table Grid"/>
    <w:basedOn w:val="a1"/>
    <w:uiPriority w:val="59"/>
    <w:rsid w:val="00871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3555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E37"/>
    <w:pPr>
      <w:suppressAutoHyphens/>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C73E37"/>
    <w:pPr>
      <w:keepNext/>
      <w:spacing w:before="240" w:after="120"/>
    </w:pPr>
    <w:rPr>
      <w:rFonts w:ascii="Arial" w:eastAsia="Lucida Sans Unicode" w:hAnsi="Arial" w:cs="Tahoma"/>
      <w:sz w:val="28"/>
      <w:szCs w:val="28"/>
    </w:rPr>
  </w:style>
  <w:style w:type="character" w:customStyle="1" w:styleId="a5">
    <w:name w:val="Название Знак"/>
    <w:basedOn w:val="a0"/>
    <w:link w:val="a3"/>
    <w:rsid w:val="00C73E37"/>
    <w:rPr>
      <w:rFonts w:ascii="Arial" w:eastAsia="Lucida Sans Unicode" w:hAnsi="Arial" w:cs="Tahoma"/>
      <w:sz w:val="28"/>
      <w:szCs w:val="28"/>
    </w:rPr>
  </w:style>
  <w:style w:type="paragraph" w:styleId="a4">
    <w:name w:val="Body Text"/>
    <w:basedOn w:val="a"/>
    <w:link w:val="a6"/>
    <w:uiPriority w:val="99"/>
    <w:semiHidden/>
    <w:unhideWhenUsed/>
    <w:rsid w:val="00C73E37"/>
    <w:pPr>
      <w:spacing w:after="120"/>
    </w:pPr>
  </w:style>
  <w:style w:type="character" w:customStyle="1" w:styleId="a6">
    <w:name w:val="Основной текст Знак"/>
    <w:basedOn w:val="a0"/>
    <w:link w:val="a4"/>
    <w:uiPriority w:val="99"/>
    <w:semiHidden/>
    <w:rsid w:val="00C73E37"/>
  </w:style>
  <w:style w:type="paragraph" w:styleId="a7">
    <w:name w:val="Subtitle"/>
    <w:basedOn w:val="a3"/>
    <w:next w:val="a4"/>
    <w:link w:val="a8"/>
    <w:qFormat/>
    <w:rsid w:val="00C73E37"/>
    <w:pPr>
      <w:jc w:val="center"/>
    </w:pPr>
    <w:rPr>
      <w:i/>
      <w:iCs/>
    </w:rPr>
  </w:style>
  <w:style w:type="character" w:customStyle="1" w:styleId="a8">
    <w:name w:val="Подзаголовок Знак"/>
    <w:basedOn w:val="a0"/>
    <w:link w:val="a7"/>
    <w:rsid w:val="00C73E37"/>
    <w:rPr>
      <w:rFonts w:ascii="Arial" w:eastAsia="Lucida Sans Unicode" w:hAnsi="Arial" w:cs="Tahoma"/>
      <w:i/>
      <w:iCs/>
      <w:sz w:val="28"/>
      <w:szCs w:val="28"/>
    </w:rPr>
  </w:style>
  <w:style w:type="table" w:styleId="a9">
    <w:name w:val="Table Grid"/>
    <w:basedOn w:val="a1"/>
    <w:uiPriority w:val="59"/>
    <w:rsid w:val="00871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3555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ernment.ru/docs/all/86860/" TargetMode="External"/><Relationship Id="rId3" Type="http://schemas.openxmlformats.org/officeDocument/2006/relationships/settings" Target="settings.xml"/><Relationship Id="rId7" Type="http://schemas.openxmlformats.org/officeDocument/2006/relationships/hyperlink" Target="https://minstroyrf.gov.ru/docs/14005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instroyrf.gov.ru/docs/1262/" TargetMode="External"/><Relationship Id="rId11" Type="http://schemas.openxmlformats.org/officeDocument/2006/relationships/theme" Target="theme/theme1.xml"/><Relationship Id="rId5" Type="http://schemas.openxmlformats.org/officeDocument/2006/relationships/hyperlink" Target="https://www.consultant.ru/document/cons_doc_LAW_5105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instroyrf.gov.ru/docs/1400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432</Words>
  <Characters>2466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2023-08-16T09:02:00Z</dcterms:created>
  <dcterms:modified xsi:type="dcterms:W3CDTF">2023-08-16T09:09:00Z</dcterms:modified>
</cp:coreProperties>
</file>