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70" w:rsidRDefault="009E3C7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E3C70" w:rsidRDefault="009E3C70">
      <w:pPr>
        <w:pStyle w:val="ConsPlusTitle"/>
        <w:jc w:val="center"/>
      </w:pPr>
    </w:p>
    <w:p w:rsidR="009E3C70" w:rsidRDefault="009E3C70">
      <w:pPr>
        <w:pStyle w:val="ConsPlusTitle"/>
        <w:jc w:val="center"/>
      </w:pPr>
      <w:r>
        <w:t>РАСПОРЯЖЕНИЕ</w:t>
      </w:r>
    </w:p>
    <w:p w:rsidR="009E3C70" w:rsidRDefault="009E3C70">
      <w:pPr>
        <w:pStyle w:val="ConsPlusTitle"/>
        <w:jc w:val="center"/>
      </w:pPr>
      <w:bookmarkStart w:id="0" w:name="_GoBack"/>
      <w:r>
        <w:t>от 2 сентября 2021 г. N 2424-р</w:t>
      </w:r>
    </w:p>
    <w:bookmarkEnd w:id="0"/>
    <w:p w:rsidR="009E3C70" w:rsidRDefault="009E3C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3C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C70" w:rsidRDefault="009E3C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C70" w:rsidRDefault="009E3C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3C70" w:rsidRDefault="009E3C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3C70" w:rsidRDefault="009E3C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5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E3C70" w:rsidRDefault="009E3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6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7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8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9E3C70" w:rsidRDefault="009E3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9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10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1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9E3C70" w:rsidRDefault="009E3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12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C70" w:rsidRDefault="009E3C70">
            <w:pPr>
              <w:pStyle w:val="ConsPlusNormal"/>
            </w:pPr>
          </w:p>
        </w:tc>
      </w:tr>
    </w:tbl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8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Реализация Национального </w:t>
      </w:r>
      <w:hyperlink w:anchor="P48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  <w:proofErr w:type="gramEnd"/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8">
        <w:r>
          <w:rPr>
            <w:color w:val="0000FF"/>
          </w:rPr>
          <w:t>плана</w:t>
        </w:r>
      </w:hyperlink>
      <w:r>
        <w:t>: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4. ФАС России: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9E3C70" w:rsidRDefault="009E3C7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lastRenderedPageBreak/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9E3C70" w:rsidRDefault="009E3C7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jc w:val="right"/>
      </w:pPr>
      <w:r>
        <w:t>Председатель Правительства</w:t>
      </w:r>
    </w:p>
    <w:p w:rsidR="009E3C70" w:rsidRDefault="009E3C70">
      <w:pPr>
        <w:pStyle w:val="ConsPlusNormal"/>
        <w:jc w:val="right"/>
      </w:pPr>
      <w:r>
        <w:t>Российской Федерации</w:t>
      </w:r>
    </w:p>
    <w:p w:rsidR="009E3C70" w:rsidRDefault="009E3C70">
      <w:pPr>
        <w:pStyle w:val="ConsPlusNormal"/>
        <w:jc w:val="right"/>
      </w:pPr>
      <w:r>
        <w:t>М.МИШУСТИН</w:t>
      </w: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jc w:val="right"/>
        <w:outlineLvl w:val="0"/>
      </w:pPr>
      <w:r>
        <w:t>Утвержден</w:t>
      </w:r>
    </w:p>
    <w:p w:rsidR="009E3C70" w:rsidRDefault="009E3C70">
      <w:pPr>
        <w:pStyle w:val="ConsPlusNormal"/>
        <w:jc w:val="right"/>
      </w:pPr>
      <w:r>
        <w:t>распоряжением Правительства</w:t>
      </w:r>
    </w:p>
    <w:p w:rsidR="009E3C70" w:rsidRDefault="009E3C70">
      <w:pPr>
        <w:pStyle w:val="ConsPlusNormal"/>
        <w:jc w:val="right"/>
      </w:pPr>
      <w:r>
        <w:t>Российской Федерации</w:t>
      </w:r>
    </w:p>
    <w:p w:rsidR="009E3C70" w:rsidRDefault="009E3C70">
      <w:pPr>
        <w:pStyle w:val="ConsPlusNormal"/>
        <w:jc w:val="right"/>
      </w:pPr>
      <w:r>
        <w:t>от 2 сентября 2021 г. N 2424-р</w:t>
      </w: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Title"/>
        <w:jc w:val="center"/>
      </w:pPr>
      <w:bookmarkStart w:id="1" w:name="P48"/>
      <w:bookmarkEnd w:id="1"/>
      <w:r>
        <w:t>НАЦИОНАЛЬНЫЙ ПЛАН</w:t>
      </w:r>
    </w:p>
    <w:p w:rsidR="009E3C70" w:rsidRDefault="009E3C70">
      <w:pPr>
        <w:pStyle w:val="ConsPlusTitle"/>
        <w:jc w:val="center"/>
      </w:pPr>
      <w:r>
        <w:t xml:space="preserve">("ДОРОЖНАЯ КАРТА") РАЗВИТИЯ КОНКУРЕНЦИИ </w:t>
      </w:r>
      <w:proofErr w:type="gramStart"/>
      <w:r>
        <w:t>В</w:t>
      </w:r>
      <w:proofErr w:type="gramEnd"/>
      <w:r>
        <w:t xml:space="preserve"> РОССИЙСКОЙ</w:t>
      </w:r>
    </w:p>
    <w:p w:rsidR="009E3C70" w:rsidRDefault="009E3C70">
      <w:pPr>
        <w:pStyle w:val="ConsPlusTitle"/>
        <w:jc w:val="center"/>
      </w:pPr>
      <w:r>
        <w:t>ФЕДЕРАЦИИ НА 2021 - 2025 ГОДЫ</w:t>
      </w:r>
    </w:p>
    <w:p w:rsidR="009E3C70" w:rsidRDefault="009E3C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3C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C70" w:rsidRDefault="009E3C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C70" w:rsidRDefault="009E3C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3C70" w:rsidRDefault="009E3C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3C70" w:rsidRDefault="009E3C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5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E3C70" w:rsidRDefault="009E3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6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17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18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9E3C70" w:rsidRDefault="009E3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19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20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2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9E3C70" w:rsidRDefault="009E3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22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C70" w:rsidRDefault="009E3C70">
            <w:pPr>
              <w:pStyle w:val="ConsPlusNormal"/>
            </w:pPr>
          </w:p>
        </w:tc>
      </w:tr>
    </w:tbl>
    <w:p w:rsidR="009E3C70" w:rsidRDefault="009E3C70">
      <w:pPr>
        <w:pStyle w:val="ConsPlusNormal"/>
        <w:jc w:val="both"/>
      </w:pPr>
    </w:p>
    <w:p w:rsidR="009E3C70" w:rsidRDefault="009E3C70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9E3C70" w:rsidRDefault="009E3C70">
      <w:pPr>
        <w:pStyle w:val="ConsPlusTitle"/>
        <w:jc w:val="center"/>
      </w:pPr>
      <w:r>
        <w:lastRenderedPageBreak/>
        <w:t>по развитию конкуренции</w:t>
      </w: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ind w:firstLine="540"/>
        <w:jc w:val="both"/>
      </w:pPr>
      <w:hyperlink r:id="rId23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25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26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Основные подходы к реализации </w:t>
      </w:r>
      <w:proofErr w:type="spellStart"/>
      <w:r>
        <w:t>проконкурентной</w:t>
      </w:r>
      <w:proofErr w:type="spellEnd"/>
      <w:r>
        <w:t xml:space="preserve"> политики в регионах Российской Федерации закреплены в </w:t>
      </w:r>
      <w:hyperlink r:id="rId27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lastRenderedPageBreak/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8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9E3C70" w:rsidRDefault="009E3C70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9E3C70" w:rsidRDefault="009E3C70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9E3C70" w:rsidRDefault="009E3C70">
      <w:pPr>
        <w:pStyle w:val="ConsPlusNormal"/>
        <w:spacing w:before="220"/>
        <w:ind w:firstLine="540"/>
        <w:jc w:val="both"/>
      </w:pPr>
      <w:proofErr w:type="gramStart"/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31">
        <w:r>
          <w:rPr>
            <w:color w:val="0000FF"/>
          </w:rPr>
          <w:t>Указом</w:t>
        </w:r>
      </w:hyperlink>
      <w:r>
        <w:t xml:space="preserve"> N 618, </w:t>
      </w:r>
      <w:hyperlink r:id="rId32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</w:t>
      </w:r>
      <w:proofErr w:type="gramEnd"/>
      <w:r>
        <w:t xml:space="preserve"> 16 августа 2018 г. N 1697-р.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lastRenderedPageBreak/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9E3C70" w:rsidRDefault="009E3C70">
      <w:pPr>
        <w:pStyle w:val="ConsPlusNormal"/>
        <w:spacing w:before="220"/>
        <w:ind w:firstLine="540"/>
        <w:jc w:val="both"/>
      </w:pPr>
      <w:proofErr w:type="gramStart"/>
      <w:r>
        <w:t xml:space="preserve">в рамках усиления борьбы с картелями и иными </w:t>
      </w:r>
      <w:proofErr w:type="spellStart"/>
      <w:r>
        <w:t>антиконкурентными</w:t>
      </w:r>
      <w:proofErr w:type="spellEnd"/>
      <w:r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  <w:proofErr w:type="gramEnd"/>
    </w:p>
    <w:p w:rsidR="009E3C70" w:rsidRDefault="009E3C70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34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Анализ глобальных </w:t>
      </w:r>
      <w:proofErr w:type="gramStart"/>
      <w:r>
        <w:t>экономических процессов</w:t>
      </w:r>
      <w:proofErr w:type="gramEnd"/>
      <w:r>
        <w:t xml:space="preserve">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</w:t>
      </w:r>
      <w:r>
        <w:lastRenderedPageBreak/>
        <w:t>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Еще одним </w:t>
      </w:r>
      <w:proofErr w:type="gramStart"/>
      <w:r>
        <w:t>вызовом</w:t>
      </w:r>
      <w:proofErr w:type="gramEnd"/>
      <w:r>
        <w:t xml:space="preserve"> как для российской экономики, так и для мировой экономики в целом стало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монополизация рынков и их </w:t>
      </w:r>
      <w:proofErr w:type="spellStart"/>
      <w:r>
        <w:t>олигопольный</w:t>
      </w:r>
      <w:proofErr w:type="spellEnd"/>
      <w:r>
        <w:t xml:space="preserve"> характер;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9E3C70" w:rsidRDefault="009E3C70">
      <w:pPr>
        <w:pStyle w:val="ConsPlusTitle"/>
        <w:jc w:val="center"/>
      </w:pPr>
      <w:r>
        <w:t>развития конкуренции</w:t>
      </w: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9E3C70" w:rsidRDefault="009E3C70">
      <w:pPr>
        <w:pStyle w:val="ConsPlusNormal"/>
        <w:spacing w:before="220"/>
        <w:ind w:firstLine="540"/>
        <w:jc w:val="both"/>
      </w:pPr>
      <w:proofErr w:type="spellStart"/>
      <w:r>
        <w:t>дерегулирование</w:t>
      </w:r>
      <w:proofErr w:type="spellEnd"/>
      <w: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lastRenderedPageBreak/>
        <w:t>развитие малого и среднего предпринимательства;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</w:t>
      </w:r>
      <w:proofErr w:type="gramStart"/>
      <w:r>
        <w:t>других</w:t>
      </w:r>
      <w:proofErr w:type="gramEnd"/>
      <w:r>
        <w:t xml:space="preserve"> товарных </w:t>
      </w:r>
      <w:proofErr w:type="spellStart"/>
      <w:r>
        <w:t>деривативов</w:t>
      </w:r>
      <w:proofErr w:type="spellEnd"/>
      <w:r>
        <w:t>, создание условий для реализации биржевых товаров на экспорт на российских биржах за рубли;</w:t>
      </w:r>
    </w:p>
    <w:p w:rsidR="009E3C70" w:rsidRDefault="009E3C70">
      <w:pPr>
        <w:pStyle w:val="ConsPlusNormal"/>
        <w:spacing w:before="220"/>
        <w:ind w:firstLine="540"/>
        <w:jc w:val="both"/>
      </w:pPr>
      <w:proofErr w:type="spellStart"/>
      <w:r>
        <w:t>цифровизация</w:t>
      </w:r>
      <w:proofErr w:type="spellEnd"/>
      <w:r>
        <w:t xml:space="preserve"> антимонопольного и тарифного регулирования;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9E3C70" w:rsidRDefault="009E3C70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9E3C70" w:rsidRDefault="009E3C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9E3C70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3C70" w:rsidRDefault="009E3C70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3C70" w:rsidRDefault="009E3C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3C70" w:rsidRDefault="009E3C7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Численность занятых в сфере малого и среднего предпринимательства, включая индивидуальных </w:t>
            </w:r>
            <w:r>
              <w:lastRenderedPageBreak/>
              <w:t>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федеральные органы исполнительной власти, осуществляющие </w:t>
            </w:r>
            <w:r>
              <w:lastRenderedPageBreak/>
              <w:t xml:space="preserve">функции по выработке и реализации 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</w:pPr>
            <w:proofErr w:type="gramStart"/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35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36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</w:t>
            </w:r>
            <w:proofErr w:type="gramEnd"/>
            <w:r>
              <w:t xml:space="preserve">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>
              <w:t>несостоявшимися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ind w:firstLine="540"/>
        <w:jc w:val="both"/>
      </w:pPr>
      <w:r>
        <w:t>--------------------------------</w:t>
      </w:r>
    </w:p>
    <w:p w:rsidR="009E3C70" w:rsidRDefault="009E3C70">
      <w:pPr>
        <w:pStyle w:val="ConsPlusNormal"/>
        <w:spacing w:before="220"/>
        <w:ind w:firstLine="540"/>
        <w:jc w:val="both"/>
      </w:pPr>
      <w:bookmarkStart w:id="2" w:name="P152"/>
      <w:bookmarkEnd w:id="2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ind w:firstLine="540"/>
        <w:jc w:val="both"/>
      </w:pPr>
      <w:bookmarkStart w:id="3" w:name="P154"/>
      <w:bookmarkEnd w:id="3"/>
      <w:r>
        <w:t>3. Ожидаемые результаты развития конкуренции в отдельных отраслях (сферах) экономики (видах деятельности):</w:t>
      </w:r>
    </w:p>
    <w:p w:rsidR="009E3C70" w:rsidRDefault="009E3C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9E3C70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3C70" w:rsidRDefault="009E3C70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На федеральном и региональном </w:t>
            </w:r>
            <w:proofErr w:type="gramStart"/>
            <w:r>
              <w:t>уровнях</w:t>
            </w:r>
            <w:proofErr w:type="gramEnd"/>
            <w:r>
              <w:t xml:space="preserve">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</w:t>
            </w:r>
            <w:r>
              <w:lastRenderedPageBreak/>
              <w:t>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Минсельхоз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Минсельхоз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Минсельхоз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9E3C70" w:rsidRDefault="009E3C70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9E3C70" w:rsidRDefault="009E3C70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Минобороны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ФСБ России,</w:t>
            </w:r>
          </w:p>
          <w:p w:rsidR="009E3C70" w:rsidRDefault="009E3C70">
            <w:pPr>
              <w:pStyle w:val="ConsPlusNormal"/>
            </w:pPr>
            <w:r>
              <w:t>ФСТЭК России,</w:t>
            </w:r>
          </w:p>
          <w:p w:rsidR="009E3C70" w:rsidRDefault="009E3C70">
            <w:pPr>
              <w:pStyle w:val="ConsPlusNormal"/>
            </w:pPr>
            <w:r>
              <w:t>Минфин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Минприроды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Минфин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</w:t>
            </w:r>
            <w:r>
              <w:lastRenderedPageBreak/>
              <w:t>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Минфин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Минфин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9E3C70" w:rsidRDefault="009E3C70">
            <w:pPr>
              <w:pStyle w:val="ConsPlusNormal"/>
            </w:pPr>
            <w:r>
              <w:t>Минприроды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9E3C70" w:rsidRDefault="009E3C70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9E3C70" w:rsidRDefault="009E3C70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</w:t>
            </w:r>
            <w:proofErr w:type="spellStart"/>
            <w:r>
              <w:t>энергосбытовую</w:t>
            </w:r>
            <w:proofErr w:type="spellEnd"/>
            <w:r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Минтранс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Минтранс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9E3C70" w:rsidRDefault="009E3C70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9E3C70" w:rsidRDefault="009E3C70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Минтранс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9E3C70" w:rsidRDefault="009E3C70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9E3C70" w:rsidRDefault="009E3C70">
            <w:pPr>
              <w:pStyle w:val="ConsPlusNormal"/>
            </w:pPr>
            <w:r>
              <w:t>1 процента на рынках общего образования;</w:t>
            </w:r>
          </w:p>
          <w:p w:rsidR="009E3C70" w:rsidRDefault="009E3C70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На рынках лекарственных средств:</w:t>
            </w:r>
          </w:p>
          <w:p w:rsidR="009E3C70" w:rsidRDefault="009E3C70">
            <w:pPr>
              <w:pStyle w:val="ConsPlusNormal"/>
            </w:pPr>
            <w:r>
              <w:t xml:space="preserve">до 1 июля 2022 г. проведена работа по определению взаимозаменяемости лекарственных препаратов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50 процентов лекарственных препаратов,</w:t>
            </w:r>
          </w:p>
          <w:p w:rsidR="009E3C70" w:rsidRDefault="009E3C70">
            <w:pPr>
              <w:pStyle w:val="ConsPlusNormal"/>
            </w:pPr>
            <w:r>
              <w:t xml:space="preserve">до 31 декабря 2022 г. -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55 процентов лекарственных препаратов,</w:t>
            </w:r>
          </w:p>
          <w:p w:rsidR="009E3C70" w:rsidRDefault="009E3C70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9E3C70" w:rsidRDefault="009E3C70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9E3C70" w:rsidRDefault="009E3C70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Минздрав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Система возмещения стоимости лекарственного обеспечения внедрена:</w:t>
            </w:r>
          </w:p>
          <w:p w:rsidR="009E3C70" w:rsidRDefault="009E3C70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9E3C70" w:rsidRDefault="009E3C70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Минздрав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9E3C70" w:rsidRDefault="009E3C70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9E3C70" w:rsidRDefault="009E3C70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Минздрав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10. Ритуальные услуги</w:t>
            </w:r>
          </w:p>
          <w:p w:rsidR="009E3C70" w:rsidRDefault="009E3C70">
            <w:pPr>
              <w:pStyle w:val="ConsPlusNormal"/>
              <w:jc w:val="center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 31 декабря 2023 г.:</w:t>
            </w:r>
          </w:p>
          <w:p w:rsidR="009E3C70" w:rsidRDefault="009E3C70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9E3C70" w:rsidRDefault="009E3C70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Минстрой России,</w:t>
            </w:r>
          </w:p>
          <w:p w:rsidR="009E3C70" w:rsidRDefault="009E3C70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9E3C70" w:rsidRDefault="009E3C70">
            <w:pPr>
              <w:pStyle w:val="ConsPlusNormal"/>
            </w:pPr>
            <w:proofErr w:type="gramStart"/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  <w:proofErr w:type="gramEnd"/>
          </w:p>
          <w:p w:rsidR="009E3C70" w:rsidRDefault="009E3C70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Минстрой России,</w:t>
            </w:r>
          </w:p>
          <w:p w:rsidR="009E3C70" w:rsidRDefault="009E3C70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9E3C70" w:rsidRDefault="009E3C70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Созданы ликвидные биржевые и внебиржевые индикаторы цен на </w:t>
            </w:r>
            <w:r>
              <w:lastRenderedPageBreak/>
              <w:t>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ФАС России,</w:t>
            </w:r>
          </w:p>
          <w:p w:rsidR="009E3C70" w:rsidRDefault="009E3C70">
            <w:pPr>
              <w:pStyle w:val="ConsPlusNormal"/>
            </w:pPr>
            <w:r>
              <w:lastRenderedPageBreak/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r>
              <w:t>ФНС России,</w:t>
            </w:r>
          </w:p>
          <w:p w:rsidR="009E3C70" w:rsidRDefault="009E3C70">
            <w:pPr>
              <w:pStyle w:val="ConsPlusNormal"/>
            </w:pPr>
            <w:r>
              <w:t>Минэнерго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gramStart"/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38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</w:t>
            </w:r>
            <w:proofErr w:type="gramEnd"/>
            <w:r>
              <w:t xml:space="preserve">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Минэнерго России,</w:t>
            </w:r>
          </w:p>
          <w:p w:rsidR="009E3C70" w:rsidRDefault="009E3C70">
            <w:pPr>
              <w:pStyle w:val="ConsPlusNormal"/>
            </w:pPr>
            <w:r>
              <w:t>Минстрой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Минэкономразвития России,</w:t>
            </w:r>
          </w:p>
          <w:p w:rsidR="009E3C70" w:rsidRDefault="009E3C70">
            <w:pPr>
              <w:pStyle w:val="ConsPlusNormal"/>
            </w:pPr>
            <w:r>
              <w:t>Минэнерго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Минэкономразвития России,</w:t>
            </w:r>
          </w:p>
          <w:p w:rsidR="009E3C70" w:rsidRDefault="009E3C70">
            <w:pPr>
              <w:pStyle w:val="ConsPlusNormal"/>
            </w:pPr>
            <w:r>
              <w:t>Минэнерго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r>
              <w:t>ФНС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  <w:p w:rsidR="009E3C70" w:rsidRDefault="009E3C70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r>
              <w:t>ФНС России,</w:t>
            </w:r>
          </w:p>
          <w:p w:rsidR="009E3C70" w:rsidRDefault="009E3C70">
            <w:pPr>
              <w:pStyle w:val="ConsPlusNormal"/>
            </w:pPr>
            <w:r>
              <w:t>Минэнерго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>
              <w:t>ортоксилола</w:t>
            </w:r>
            <w:proofErr w:type="spellEnd"/>
            <w:r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>
              <w:t>ортоксилол</w:t>
            </w:r>
            <w:proofErr w:type="spellEnd"/>
            <w:r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Минстрой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Минстрой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05.06.2024 N 1399-р)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9E3C70" w:rsidRDefault="009E3C70">
            <w:pPr>
              <w:pStyle w:val="ConsPlusNormal"/>
            </w:pPr>
            <w:r>
              <w:t xml:space="preserve">исполнительные органы субъектов Российской </w:t>
            </w:r>
            <w:r>
              <w:lastRenderedPageBreak/>
              <w:t>Федерации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15. Лесной комплекс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Минприроды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Минприроды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r>
              <w:t>ФНС России,</w:t>
            </w:r>
          </w:p>
          <w:p w:rsidR="009E3C70" w:rsidRDefault="009E3C70">
            <w:pPr>
              <w:pStyle w:val="ConsPlusNormal"/>
            </w:pPr>
            <w:r>
              <w:t>Минприроды России,</w:t>
            </w:r>
          </w:p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</w:tbl>
    <w:p w:rsidR="009E3C70" w:rsidRDefault="009E3C70">
      <w:pPr>
        <w:pStyle w:val="ConsPlusNormal"/>
        <w:jc w:val="both"/>
      </w:pPr>
    </w:p>
    <w:p w:rsidR="009E3C70" w:rsidRDefault="009E3C70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sectPr w:rsidR="009E3C70" w:rsidSect="009E3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9E3C70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3C70" w:rsidRDefault="009E3C70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E3C70" w:rsidRDefault="009E3C70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69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июля 2022 г.</w:t>
            </w:r>
          </w:p>
          <w:p w:rsidR="009E3C70" w:rsidRDefault="009E3C70">
            <w:pPr>
              <w:pStyle w:val="ConsPlusNormal"/>
              <w:jc w:val="center"/>
            </w:pPr>
            <w:r>
              <w:t>31 декабря 2022 г.</w:t>
            </w:r>
          </w:p>
          <w:p w:rsidR="009E3C70" w:rsidRDefault="009E3C70">
            <w:pPr>
              <w:pStyle w:val="ConsPlusNormal"/>
              <w:jc w:val="center"/>
            </w:pPr>
            <w:r>
              <w:t>31 декабря 2023 г.</w:t>
            </w:r>
          </w:p>
          <w:p w:rsidR="009E3C70" w:rsidRDefault="009E3C70">
            <w:pPr>
              <w:pStyle w:val="ConsPlusNormal"/>
              <w:jc w:val="center"/>
            </w:pPr>
            <w:r>
              <w:t>31 декабря 2024 г.</w:t>
            </w:r>
          </w:p>
          <w:p w:rsidR="009E3C70" w:rsidRDefault="009E3C70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Минздрав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9E3C70" w:rsidRDefault="009E3C70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9E3C70" w:rsidRDefault="009E3C70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9E3C70" w:rsidRDefault="009E3C70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9E3C70" w:rsidRDefault="009E3C70">
            <w:pPr>
              <w:pStyle w:val="ConsPlusNormal"/>
            </w:pPr>
            <w:r>
              <w:t xml:space="preserve">по формированию системы национальных рыночных индикаторов цен на ключевые группы товаров с учетом биржевых цен, </w:t>
            </w:r>
            <w:proofErr w:type="gramStart"/>
            <w:r>
              <w:t>формируемых</w:t>
            </w:r>
            <w:proofErr w:type="gramEnd"/>
            <w:r>
              <w:t xml:space="preserve"> в том числе на международных и зарубежных организованных биржевых торгах;</w:t>
            </w:r>
          </w:p>
          <w:p w:rsidR="009E3C70" w:rsidRDefault="009E3C70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9E3C70" w:rsidRDefault="009E3C70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9E3C70" w:rsidRDefault="009E3C70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9E3C70" w:rsidRDefault="009E3C70">
            <w:pPr>
              <w:pStyle w:val="ConsPlusNormal"/>
            </w:pPr>
            <w:r>
              <w:t xml:space="preserve"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</w:t>
            </w:r>
            <w:proofErr w:type="gramStart"/>
            <w:r>
              <w:t>спот-торгов</w:t>
            </w:r>
            <w:proofErr w:type="gramEnd"/>
            <w:r>
              <w:t>, а также цен экспортной альтернативы (</w:t>
            </w:r>
            <w:proofErr w:type="spellStart"/>
            <w:r>
              <w:t>нетбэк</w:t>
            </w:r>
            <w:proofErr w:type="spellEnd"/>
            <w:r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России,</w:t>
            </w:r>
          </w:p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r>
              <w:t>ФНС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 и</w:t>
            </w:r>
          </w:p>
          <w:p w:rsidR="009E3C70" w:rsidRDefault="009E3C70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9E3C70" w:rsidRDefault="009E3C70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9E3C70" w:rsidRDefault="009E3C70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9E3C70" w:rsidRDefault="009E3C70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9E3C70" w:rsidRDefault="009E3C70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>
              <w:t>мультисервисных</w:t>
            </w:r>
            <w:proofErr w:type="spellEnd"/>
            <w:r>
              <w:t xml:space="preserve"> платформ), в том числе иностранных экосистем;</w:t>
            </w:r>
          </w:p>
          <w:p w:rsidR="009E3C70" w:rsidRDefault="009E3C70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Минфин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gramStart"/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t xml:space="preserve">(п. 8 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Минфин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gramStart"/>
            <w:r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</w:t>
            </w:r>
            <w:r>
              <w:lastRenderedPageBreak/>
              <w:t>Российской Федерации (за исключением процедур, проводимых в соответствии с законодательством Российской Федерации о</w:t>
            </w:r>
            <w:proofErr w:type="gramEnd"/>
            <w:r>
              <w:t xml:space="preserve">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r>
              <w:t>Минюст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России,</w:t>
            </w:r>
          </w:p>
          <w:p w:rsidR="009E3C70" w:rsidRDefault="009E3C70">
            <w:pPr>
              <w:pStyle w:val="ConsPlusNormal"/>
            </w:pPr>
            <w:r>
              <w:t>Минприроды России,</w:t>
            </w:r>
          </w:p>
          <w:p w:rsidR="009E3C70" w:rsidRDefault="009E3C70">
            <w:pPr>
              <w:pStyle w:val="ConsPlusNormal"/>
            </w:pPr>
            <w:r>
              <w:t>Казначейство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9E3C70" w:rsidRDefault="009E3C70">
            <w:pPr>
              <w:pStyle w:val="ConsPlusNormal"/>
            </w:pPr>
            <w:r>
              <w:t>Минсельхоз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Минприроды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30.01.2024 N 178-р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30.01.2024 N 178-р)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t xml:space="preserve">Исключен. - </w:t>
            </w:r>
            <w:hyperlink r:id="rId4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</w:t>
            </w:r>
            <w:proofErr w:type="gramStart"/>
            <w:r>
              <w:t>обеспечивающего</w:t>
            </w:r>
            <w:proofErr w:type="gramEnd"/>
            <w:r>
              <w:t xml:space="preserve">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 xml:space="preserve">постановление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ФАС России,</w:t>
            </w:r>
          </w:p>
          <w:p w:rsidR="009E3C70" w:rsidRDefault="009E3C70">
            <w:pPr>
              <w:pStyle w:val="ConsPlusNormal"/>
              <w:jc w:val="center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t xml:space="preserve">Исключен. - </w:t>
            </w:r>
            <w:hyperlink r:id="rId4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>
              <w:t>цифровизации</w:t>
            </w:r>
            <w:proofErr w:type="spellEnd"/>
            <w:r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  <w:p w:rsidR="009E3C70" w:rsidRDefault="009E3C70">
            <w:pPr>
              <w:pStyle w:val="ConsPlusNormal"/>
            </w:pPr>
            <w:r>
              <w:t>Минэкономразвития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Разработка и утверждение плана мероприятий по развитию сотрудничества стран БРИКС по </w:t>
            </w:r>
            <w:r>
              <w:lastRenderedPageBreak/>
              <w:t>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</w:t>
            </w:r>
          </w:p>
          <w:p w:rsidR="009E3C70" w:rsidRDefault="009E3C70">
            <w:pPr>
              <w:pStyle w:val="ConsPlusNormal"/>
            </w:pPr>
            <w:r>
              <w:t xml:space="preserve">при участии Банка </w:t>
            </w:r>
            <w:r>
              <w:lastRenderedPageBreak/>
              <w:t>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46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Установление единого порядка подачи и </w:t>
            </w:r>
            <w:r>
              <w:lastRenderedPageBreak/>
              <w:t>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 xml:space="preserve">постановление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Минстрой России,</w:t>
            </w:r>
          </w:p>
          <w:p w:rsidR="009E3C70" w:rsidRDefault="009E3C70">
            <w:pPr>
              <w:pStyle w:val="ConsPlusNormal"/>
            </w:pPr>
            <w:r>
              <w:lastRenderedPageBreak/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Минэнерго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Разработка </w:t>
            </w:r>
            <w:hyperlink r:id="rId47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t xml:space="preserve">Исключены. - </w:t>
            </w:r>
            <w:hyperlink r:id="rId4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внесения изменений в законодательство Российской Федерации, закрепляющих подсудность дел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t xml:space="preserve">(п. 28 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28.02.2024 N 439-р)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gramStart"/>
            <w:r>
              <w:t xml:space="preserve"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</w:t>
            </w:r>
            <w:r>
              <w:lastRenderedPageBreak/>
              <w:t>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</w:t>
            </w:r>
            <w:proofErr w:type="gramEnd"/>
            <w:r>
              <w:t xml:space="preserve">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ФАС России,</w:t>
            </w:r>
          </w:p>
          <w:p w:rsidR="009E3C70" w:rsidRDefault="009E3C70">
            <w:pPr>
              <w:pStyle w:val="ConsPlusNormal"/>
              <w:jc w:val="center"/>
            </w:pPr>
            <w:r>
              <w:t>Минфин России</w:t>
            </w:r>
          </w:p>
          <w:p w:rsidR="009E3C70" w:rsidRDefault="009E3C70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t xml:space="preserve">Исключены. - </w:t>
            </w:r>
            <w:hyperlink r:id="rId5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Минстрой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gramStart"/>
            <w:r>
              <w:t xml:space="preserve"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</w:t>
            </w:r>
            <w:r>
              <w:lastRenderedPageBreak/>
              <w:t>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России,</w:t>
            </w:r>
          </w:p>
          <w:p w:rsidR="009E3C70" w:rsidRDefault="009E3C70">
            <w:pPr>
              <w:pStyle w:val="ConsPlusNormal"/>
            </w:pPr>
            <w:r>
              <w:t>Казначейство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Минстрой России,</w:t>
            </w:r>
          </w:p>
          <w:p w:rsidR="009E3C70" w:rsidRDefault="009E3C70">
            <w:pPr>
              <w:pStyle w:val="ConsPlusNormal"/>
            </w:pPr>
            <w:r>
              <w:t>Минздрав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t xml:space="preserve">Исключен. - </w:t>
            </w:r>
            <w:hyperlink r:id="rId5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t xml:space="preserve">Исключен. - </w:t>
            </w:r>
            <w:hyperlink r:id="rId5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Минстрой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</w:t>
            </w:r>
            <w:r>
              <w:lastRenderedPageBreak/>
              <w:t>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9E3C70" w:rsidRDefault="009E3C70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both"/>
            </w:pPr>
            <w:r>
              <w:lastRenderedPageBreak/>
              <w:t xml:space="preserve">(п. 38(1)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ФСБ России,</w:t>
            </w:r>
          </w:p>
          <w:p w:rsidR="009E3C70" w:rsidRDefault="009E3C70">
            <w:pPr>
              <w:pStyle w:val="ConsPlusNormal"/>
            </w:pPr>
            <w:r>
              <w:t>ФСТЭК России,</w:t>
            </w:r>
          </w:p>
          <w:p w:rsidR="009E3C70" w:rsidRDefault="009E3C70">
            <w:pPr>
              <w:pStyle w:val="ConsPlusNormal"/>
            </w:pPr>
            <w:r>
              <w:t>Минфин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</w:t>
            </w:r>
            <w:r>
              <w:lastRenderedPageBreak/>
              <w:t>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gramStart"/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России,</w:t>
            </w:r>
          </w:p>
          <w:p w:rsidR="009E3C70" w:rsidRDefault="009E3C70">
            <w:pPr>
              <w:pStyle w:val="ConsPlusNormal"/>
            </w:pPr>
            <w:r>
              <w:t>Минфин России</w:t>
            </w:r>
          </w:p>
          <w:p w:rsidR="009E3C70" w:rsidRDefault="009E3C70">
            <w:pPr>
              <w:pStyle w:val="ConsPlusNormal"/>
            </w:pPr>
            <w:r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 xml:space="preserve">Установление конкурентного механизма допуска кредитных или иных </w:t>
            </w:r>
            <w:r>
              <w:lastRenderedPageBreak/>
              <w:t>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lastRenderedPageBreak/>
              <w:t xml:space="preserve">постановление Правительства </w:t>
            </w:r>
            <w: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Минфин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  <w:p w:rsidR="009E3C70" w:rsidRDefault="009E3C70">
            <w:pPr>
              <w:pStyle w:val="ConsPlusNormal"/>
            </w:pPr>
            <w:r>
              <w:lastRenderedPageBreak/>
              <w:t>при участии Банка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Минстрой России,</w:t>
            </w:r>
          </w:p>
          <w:p w:rsidR="009E3C70" w:rsidRDefault="009E3C70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9E3C70" w:rsidRDefault="009E3C70">
            <w:pPr>
              <w:pStyle w:val="ConsPlusNormal"/>
            </w:pPr>
            <w:r>
              <w:t>ФАС России,</w:t>
            </w:r>
          </w:p>
          <w:p w:rsidR="009E3C70" w:rsidRDefault="009E3C70">
            <w:pPr>
              <w:pStyle w:val="ConsPlusNormal"/>
            </w:pPr>
            <w:r>
              <w:t>Минэкономразвития России</w:t>
            </w:r>
          </w:p>
        </w:tc>
      </w:tr>
      <w:tr w:rsidR="009E3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70" w:rsidRDefault="009E3C70">
            <w:pPr>
              <w:pStyle w:val="ConsPlusNormal"/>
            </w:pPr>
            <w:r>
              <w:t>Минстрой России,</w:t>
            </w:r>
          </w:p>
          <w:p w:rsidR="009E3C70" w:rsidRDefault="009E3C70">
            <w:pPr>
              <w:pStyle w:val="ConsPlusNormal"/>
            </w:pPr>
            <w:r>
              <w:t>ФАС России</w:t>
            </w:r>
          </w:p>
        </w:tc>
      </w:tr>
    </w:tbl>
    <w:p w:rsidR="009E3C70" w:rsidRDefault="009E3C70">
      <w:pPr>
        <w:pStyle w:val="ConsPlusNormal"/>
        <w:sectPr w:rsidR="009E3C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ind w:firstLine="540"/>
        <w:jc w:val="both"/>
      </w:pPr>
      <w:r>
        <w:t>--------------------------------</w:t>
      </w:r>
    </w:p>
    <w:p w:rsidR="009E3C70" w:rsidRDefault="009E3C70">
      <w:pPr>
        <w:pStyle w:val="ConsPlusNormal"/>
        <w:spacing w:before="220"/>
        <w:ind w:firstLine="540"/>
        <w:jc w:val="both"/>
      </w:pPr>
      <w:bookmarkStart w:id="4" w:name="P697"/>
      <w:bookmarkEnd w:id="4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jc w:val="both"/>
      </w:pPr>
    </w:p>
    <w:p w:rsidR="009E3C70" w:rsidRDefault="009E3C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EDF" w:rsidRDefault="00333EDF"/>
    <w:sectPr w:rsidR="00333ED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333EDF"/>
    <w:rsid w:val="009E3C70"/>
    <w:rsid w:val="00D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3C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9E3C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3C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9E3C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8368&amp;dst=100007" TargetMode="External"/><Relationship Id="rId18" Type="http://schemas.openxmlformats.org/officeDocument/2006/relationships/hyperlink" Target="https://login.consultant.ru/link/?req=doc&amp;base=LAW&amp;n=448236&amp;dst=100003" TargetMode="External"/><Relationship Id="rId26" Type="http://schemas.openxmlformats.org/officeDocument/2006/relationships/hyperlink" Target="https://login.consultant.ru/link/?req=doc&amp;base=LAW&amp;n=285796&amp;dst=100057" TargetMode="External"/><Relationship Id="rId39" Type="http://schemas.openxmlformats.org/officeDocument/2006/relationships/hyperlink" Target="https://login.consultant.ru/link/?req=doc&amp;base=LAW&amp;n=478368&amp;dst=100011" TargetMode="External"/><Relationship Id="rId21" Type="http://schemas.openxmlformats.org/officeDocument/2006/relationships/hyperlink" Target="https://login.consultant.ru/link/?req=doc&amp;base=LAW&amp;n=471135&amp;dst=100003" TargetMode="External"/><Relationship Id="rId34" Type="http://schemas.openxmlformats.org/officeDocument/2006/relationships/hyperlink" Target="https://login.consultant.ru/link/?req=doc&amp;base=LAW&amp;n=285796" TargetMode="External"/><Relationship Id="rId42" Type="http://schemas.openxmlformats.org/officeDocument/2006/relationships/hyperlink" Target="https://login.consultant.ru/link/?req=doc&amp;base=LAW&amp;n=468421&amp;dst=100003" TargetMode="External"/><Relationship Id="rId47" Type="http://schemas.openxmlformats.org/officeDocument/2006/relationships/hyperlink" Target="https://login.consultant.ru/link/?req=doc&amp;base=LAW&amp;n=442835&amp;dst=100009" TargetMode="External"/><Relationship Id="rId50" Type="http://schemas.openxmlformats.org/officeDocument/2006/relationships/hyperlink" Target="https://login.consultant.ru/link/?req=doc&amp;base=LAW&amp;n=455286&amp;dst=10002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7961&amp;dst=100003" TargetMode="External"/><Relationship Id="rId12" Type="http://schemas.openxmlformats.org/officeDocument/2006/relationships/hyperlink" Target="https://login.consultant.ru/link/?req=doc&amp;base=LAW&amp;n=478368&amp;dst=100003" TargetMode="External"/><Relationship Id="rId17" Type="http://schemas.openxmlformats.org/officeDocument/2006/relationships/hyperlink" Target="https://login.consultant.ru/link/?req=doc&amp;base=LAW&amp;n=437961&amp;dst=100003" TargetMode="External"/><Relationship Id="rId25" Type="http://schemas.openxmlformats.org/officeDocument/2006/relationships/hyperlink" Target="https://login.consultant.ru/link/?req=doc&amp;base=LAW&amp;n=285796" TargetMode="External"/><Relationship Id="rId33" Type="http://schemas.openxmlformats.org/officeDocument/2006/relationships/hyperlink" Target="https://login.consultant.ru/link/?req=doc&amp;base=LAW&amp;n=341777" TargetMode="External"/><Relationship Id="rId38" Type="http://schemas.openxmlformats.org/officeDocument/2006/relationships/hyperlink" Target="https://login.consultant.ru/link/?req=doc&amp;base=LAW&amp;n=402205&amp;dst=100014" TargetMode="External"/><Relationship Id="rId46" Type="http://schemas.openxmlformats.org/officeDocument/2006/relationships/hyperlink" Target="https://login.consultant.ru/link/?req=doc&amp;base=LAW&amp;n=476082&amp;dst=1055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5025&amp;dst=100003" TargetMode="External"/><Relationship Id="rId20" Type="http://schemas.openxmlformats.org/officeDocument/2006/relationships/hyperlink" Target="https://login.consultant.ru/link/?req=doc&amp;base=LAW&amp;n=468421&amp;dst=100003" TargetMode="External"/><Relationship Id="rId29" Type="http://schemas.openxmlformats.org/officeDocument/2006/relationships/hyperlink" Target="https://login.consultant.ru/link/?req=doc&amp;base=LAW&amp;n=108362&amp;dst=100018" TargetMode="External"/><Relationship Id="rId41" Type="http://schemas.openxmlformats.org/officeDocument/2006/relationships/hyperlink" Target="https://login.consultant.ru/link/?req=doc&amp;base=LAW&amp;n=468421&amp;dst=100003" TargetMode="External"/><Relationship Id="rId54" Type="http://schemas.openxmlformats.org/officeDocument/2006/relationships/hyperlink" Target="https://login.consultant.ru/link/?req=doc&amp;base=LAW&amp;n=455286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025&amp;dst=100003" TargetMode="External"/><Relationship Id="rId11" Type="http://schemas.openxmlformats.org/officeDocument/2006/relationships/hyperlink" Target="https://login.consultant.ru/link/?req=doc&amp;base=LAW&amp;n=471135&amp;dst=100003" TargetMode="External"/><Relationship Id="rId24" Type="http://schemas.openxmlformats.org/officeDocument/2006/relationships/hyperlink" Target="https://login.consultant.ru/link/?req=doc&amp;base=LAW&amp;n=285796" TargetMode="External"/><Relationship Id="rId32" Type="http://schemas.openxmlformats.org/officeDocument/2006/relationships/hyperlink" Target="https://login.consultant.ru/link/?req=doc&amp;base=LAW&amp;n=363897&amp;dst=100014" TargetMode="External"/><Relationship Id="rId37" Type="http://schemas.openxmlformats.org/officeDocument/2006/relationships/hyperlink" Target="https://login.consultant.ru/link/?req=doc&amp;base=LAW&amp;n=455286&amp;dst=100007" TargetMode="External"/><Relationship Id="rId40" Type="http://schemas.openxmlformats.org/officeDocument/2006/relationships/hyperlink" Target="https://login.consultant.ru/link/?req=doc&amp;base=LAW&amp;n=448236&amp;dst=100003" TargetMode="External"/><Relationship Id="rId45" Type="http://schemas.openxmlformats.org/officeDocument/2006/relationships/hyperlink" Target="https://login.consultant.ru/link/?req=doc&amp;base=LAW&amp;n=435025&amp;dst=100003" TargetMode="External"/><Relationship Id="rId53" Type="http://schemas.openxmlformats.org/officeDocument/2006/relationships/hyperlink" Target="https://login.consultant.ru/link/?req=doc&amp;base=LAW&amp;n=455286&amp;dst=100027" TargetMode="External"/><Relationship Id="rId5" Type="http://schemas.openxmlformats.org/officeDocument/2006/relationships/hyperlink" Target="https://login.consultant.ru/link/?req=doc&amp;base=LAW&amp;n=421973&amp;dst=100003" TargetMode="External"/><Relationship Id="rId15" Type="http://schemas.openxmlformats.org/officeDocument/2006/relationships/hyperlink" Target="https://login.consultant.ru/link/?req=doc&amp;base=LAW&amp;n=421973&amp;dst=100003" TargetMode="External"/><Relationship Id="rId23" Type="http://schemas.openxmlformats.org/officeDocument/2006/relationships/hyperlink" Target="https://login.consultant.ru/link/?req=doc&amp;base=LAW&amp;n=357927&amp;dst=100007" TargetMode="External"/><Relationship Id="rId28" Type="http://schemas.openxmlformats.org/officeDocument/2006/relationships/hyperlink" Target="https://login.consultant.ru/link/?req=doc&amp;base=LAW&amp;n=16461&amp;dst=100020" TargetMode="External"/><Relationship Id="rId36" Type="http://schemas.openxmlformats.org/officeDocument/2006/relationships/hyperlink" Target="https://login.consultant.ru/link/?req=doc&amp;base=LAW&amp;n=477498" TargetMode="External"/><Relationship Id="rId49" Type="http://schemas.openxmlformats.org/officeDocument/2006/relationships/hyperlink" Target="https://login.consultant.ru/link/?req=doc&amp;base=LAW&amp;n=471135&amp;dst=100003" TargetMode="External"/><Relationship Id="rId10" Type="http://schemas.openxmlformats.org/officeDocument/2006/relationships/hyperlink" Target="https://login.consultant.ru/link/?req=doc&amp;base=LAW&amp;n=468421&amp;dst=100003" TargetMode="External"/><Relationship Id="rId19" Type="http://schemas.openxmlformats.org/officeDocument/2006/relationships/hyperlink" Target="https://login.consultant.ru/link/?req=doc&amp;base=LAW&amp;n=455286&amp;dst=100003" TargetMode="External"/><Relationship Id="rId31" Type="http://schemas.openxmlformats.org/officeDocument/2006/relationships/hyperlink" Target="https://login.consultant.ru/link/?req=doc&amp;base=LAW&amp;n=285796" TargetMode="External"/><Relationship Id="rId44" Type="http://schemas.openxmlformats.org/officeDocument/2006/relationships/hyperlink" Target="https://login.consultant.ru/link/?req=doc&amp;base=LAW&amp;n=455286&amp;dst=100014" TargetMode="External"/><Relationship Id="rId52" Type="http://schemas.openxmlformats.org/officeDocument/2006/relationships/hyperlink" Target="https://login.consultant.ru/link/?req=doc&amp;base=LAW&amp;n=437961&amp;dst=10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5286&amp;dst=100003" TargetMode="External"/><Relationship Id="rId14" Type="http://schemas.openxmlformats.org/officeDocument/2006/relationships/hyperlink" Target="https://login.consultant.ru/link/?req=doc&amp;base=LAW&amp;n=478368&amp;dst=100009" TargetMode="External"/><Relationship Id="rId22" Type="http://schemas.openxmlformats.org/officeDocument/2006/relationships/hyperlink" Target="https://login.consultant.ru/link/?req=doc&amp;base=LAW&amp;n=478368&amp;dst=100011" TargetMode="External"/><Relationship Id="rId27" Type="http://schemas.openxmlformats.org/officeDocument/2006/relationships/hyperlink" Target="https://login.consultant.ru/link/?req=doc&amp;base=LAW&amp;n=323102&amp;dst=100017" TargetMode="External"/><Relationship Id="rId30" Type="http://schemas.openxmlformats.org/officeDocument/2006/relationships/hyperlink" Target="https://login.consultant.ru/link/?req=doc&amp;base=LAW&amp;n=188453&amp;dst=100191" TargetMode="External"/><Relationship Id="rId35" Type="http://schemas.openxmlformats.org/officeDocument/2006/relationships/hyperlink" Target="https://login.consultant.ru/link/?req=doc&amp;base=LAW&amp;n=472672" TargetMode="External"/><Relationship Id="rId43" Type="http://schemas.openxmlformats.org/officeDocument/2006/relationships/hyperlink" Target="https://login.consultant.ru/link/?req=doc&amp;base=LAW&amp;n=421973&amp;dst=100003" TargetMode="External"/><Relationship Id="rId48" Type="http://schemas.openxmlformats.org/officeDocument/2006/relationships/hyperlink" Target="https://login.consultant.ru/link/?req=doc&amp;base=LAW&amp;n=455286&amp;dst=10002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48236&amp;dst=100003" TargetMode="External"/><Relationship Id="rId51" Type="http://schemas.openxmlformats.org/officeDocument/2006/relationships/hyperlink" Target="https://login.consultant.ru/link/?req=doc&amp;base=LAW&amp;n=455286&amp;dst=10002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8795</Words>
  <Characters>50138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2024-07-24T09:32:00Z</dcterms:created>
  <dcterms:modified xsi:type="dcterms:W3CDTF">2024-07-24T09:47:00Z</dcterms:modified>
</cp:coreProperties>
</file>