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9F" w:rsidRDefault="00630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Какую роль играет Росреестр в деятельности арбитражного управляющего?</w:t>
      </w:r>
    </w:p>
    <w:p w:rsidR="00385C9F" w:rsidRDefault="00630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управляющий -</w:t>
      </w:r>
      <w:r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являющийся членом одной из саморегулируемых организаций арбитражных управляющих, назначенный арбитражным судом для осуществления процедуры банкротства несостоятельного должника: организаций и граждан Российской Федерации. Э</w:t>
      </w:r>
      <w:r>
        <w:rPr>
          <w:rFonts w:ascii="Times New Roman" w:hAnsi="Times New Roman" w:cs="Times New Roman"/>
          <w:sz w:val="28"/>
          <w:szCs w:val="28"/>
        </w:rPr>
        <w:t xml:space="preserve">то своего рода антикризисные менеджеры, которые приходят на смену неэффективному руководству должника. Арбитражный управляющий во время процедуры банкротства управляет </w:t>
      </w:r>
      <w:r w:rsidRPr="008D55F6">
        <w:rPr>
          <w:rFonts w:ascii="Times New Roman" w:hAnsi="Times New Roman" w:cs="Times New Roman"/>
          <w:sz w:val="28"/>
          <w:szCs w:val="28"/>
        </w:rPr>
        <w:t>денежными средствами</w:t>
      </w:r>
      <w:r w:rsidRPr="008D55F6">
        <w:rPr>
          <w:rFonts w:ascii="Times New Roman" w:hAnsi="Times New Roman" w:cs="Times New Roman"/>
          <w:sz w:val="28"/>
          <w:szCs w:val="28"/>
        </w:rPr>
        <w:t xml:space="preserve"> должника, ищет способ эффективно использовать имущество </w:t>
      </w:r>
      <w:r w:rsidRPr="008D55F6">
        <w:rPr>
          <w:rFonts w:ascii="Times New Roman" w:hAnsi="Times New Roman" w:cs="Times New Roman"/>
          <w:sz w:val="28"/>
          <w:szCs w:val="28"/>
        </w:rPr>
        <w:t xml:space="preserve">должника или </w:t>
      </w:r>
      <w:r w:rsidR="008D55F6" w:rsidRPr="008D55F6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8D55F6">
        <w:rPr>
          <w:rFonts w:ascii="Times New Roman" w:hAnsi="Times New Roman" w:cs="Times New Roman"/>
          <w:sz w:val="28"/>
          <w:szCs w:val="28"/>
        </w:rPr>
        <w:t>имущество и контролирует, чтобы все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перед кредиторами были выполнены.</w:t>
      </w:r>
    </w:p>
    <w:p w:rsidR="00385C9F" w:rsidRDefault="00630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Росреестр, как орган, обладающий в силу Закона о банкротстве полномочиями по контролю и надзору, принимает активное участие в профессион</w:t>
      </w:r>
      <w:r>
        <w:rPr>
          <w:rFonts w:ascii="Times New Roman" w:hAnsi="Times New Roman" w:cs="Times New Roman"/>
          <w:sz w:val="28"/>
          <w:szCs w:val="28"/>
        </w:rPr>
        <w:t>альной деятельности арбитражного управляющего. В компетенцию Росреестра входит подготовка и повышение квалификации арбитражных управляющих, а также привлечение к административной ответственности за допущенные нарушения, контроль за деятельностью профессион</w:t>
      </w:r>
      <w:r>
        <w:rPr>
          <w:rFonts w:ascii="Times New Roman" w:hAnsi="Times New Roman" w:cs="Times New Roman"/>
          <w:sz w:val="28"/>
          <w:szCs w:val="28"/>
        </w:rPr>
        <w:t>альных объединений арбитражных управляющих - саморегулируемых организаций.</w:t>
      </w:r>
    </w:p>
    <w:p w:rsidR="00385C9F" w:rsidRDefault="00630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Управлением Росреестра по Республике Коми (далее - Управление) </w:t>
      </w:r>
      <w:r>
        <w:rPr>
          <w:rFonts w:ascii="Tinos" w:eastAsia="Tinos" w:hAnsi="Tinos" w:cs="Tinos"/>
          <w:b/>
          <w:sz w:val="28"/>
          <w:szCs w:val="28"/>
        </w:rPr>
        <w:t>с ФГБОУ ВО «Сыктывкарский государственный университет имени Питирима Сорокина»</w:t>
      </w:r>
      <w:r>
        <w:rPr>
          <w:rFonts w:ascii="Tinos" w:eastAsia="Tinos" w:hAnsi="Tinos" w:cs="Tinos"/>
          <w:sz w:val="28"/>
          <w:szCs w:val="28"/>
        </w:rPr>
        <w:t xml:space="preserve"> заключено соглашение о сотрудничестве в</w:t>
      </w:r>
      <w:r>
        <w:rPr>
          <w:rFonts w:ascii="Tinos" w:eastAsia="Tinos" w:hAnsi="Tinos" w:cs="Tinos"/>
          <w:sz w:val="28"/>
          <w:szCs w:val="28"/>
        </w:rPr>
        <w:t xml:space="preserve"> решении задач подготовки (переподготовки) арбитражных управляющих.</w:t>
      </w:r>
    </w:p>
    <w:p w:rsidR="00385C9F" w:rsidRDefault="00630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статуса «арбитражный управляющий» подтверждается сдачей теоретического экзамена в Росреестре. К сдаче экзамена допускается лицо, прошедшее полный курс обучения по единой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подготовки арбитражных управляющих.  </w:t>
      </w:r>
    </w:p>
    <w:p w:rsidR="00385C9F" w:rsidRDefault="00630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подготовки арбитражных управляющих включает в себя изучение широкого круга вопросов юридической, экономической и оценочной тематики.   По результатам экзамена вручается Свидетельство </w:t>
      </w:r>
      <w:r>
        <w:rPr>
          <w:rFonts w:ascii="Times New Roman" w:hAnsi="Times New Roman"/>
          <w:sz w:val="28"/>
          <w:szCs w:val="28"/>
        </w:rPr>
        <w:t>Росреестра о сдаче теор</w:t>
      </w:r>
      <w:r>
        <w:rPr>
          <w:rFonts w:ascii="Times New Roman" w:hAnsi="Times New Roman"/>
          <w:sz w:val="28"/>
          <w:szCs w:val="28"/>
        </w:rPr>
        <w:t>етического экзамена по Единой программе подготовки арбитражных управляющих</w:t>
      </w:r>
      <w:r>
        <w:rPr>
          <w:rFonts w:ascii="Times New Roman" w:hAnsi="Times New Roman" w:cs="Times New Roman"/>
          <w:sz w:val="28"/>
          <w:szCs w:val="28"/>
        </w:rPr>
        <w:t xml:space="preserve">, дающее право ведения деятельности арбитражного управляющего.  </w:t>
      </w:r>
    </w:p>
    <w:p w:rsidR="00385C9F" w:rsidRDefault="006300AD">
      <w:pPr>
        <w:pStyle w:val="13"/>
        <w:ind w:firstLine="720"/>
      </w:pPr>
      <w:r>
        <w:rPr>
          <w:b/>
        </w:rPr>
        <w:t>Заместитель руководителя Управления Елена Агеева отмечает</w:t>
      </w:r>
      <w:r>
        <w:t xml:space="preserve">: «В </w:t>
      </w:r>
      <w:r w:rsidR="009C6175">
        <w:t>Росреестр как</w:t>
      </w:r>
      <w:r>
        <w:t xml:space="preserve"> в надзорный орган</w:t>
      </w:r>
      <w:r>
        <w:t xml:space="preserve"> также обращаются с жа</w:t>
      </w:r>
      <w:r>
        <w:t xml:space="preserve">лобами на действия арбитражных управляющих. За 2024 год Управлением рассмотрено </w:t>
      </w:r>
      <w:r>
        <w:rPr>
          <w:rFonts w:ascii="Tinos" w:eastAsia="Tinos" w:hAnsi="Tinos" w:cs="Tinos"/>
        </w:rPr>
        <w:t>143</w:t>
      </w:r>
      <w:r>
        <w:t xml:space="preserve"> обращения на действия (бездействие) арбитражных управляющих при проведении процедур банкротства на территории Республики Коми, показатели 2023 года - </w:t>
      </w:r>
      <w:r>
        <w:rPr>
          <w:rFonts w:ascii="Tinos" w:eastAsia="Tinos" w:hAnsi="Tinos" w:cs="Tinos"/>
        </w:rPr>
        <w:t xml:space="preserve">175 обращений. </w:t>
      </w:r>
      <w:r>
        <w:rPr>
          <w:rFonts w:ascii="Tinos" w:eastAsia="Tinos" w:hAnsi="Tinos" w:cs="Tinos"/>
          <w:highlight w:val="white"/>
        </w:rPr>
        <w:t>Возбужд</w:t>
      </w:r>
      <w:r>
        <w:rPr>
          <w:rFonts w:ascii="Tinos" w:eastAsia="Tinos" w:hAnsi="Tinos" w:cs="Tinos"/>
          <w:highlight w:val="white"/>
        </w:rPr>
        <w:t>ено в 2024 году 71 дело об административном правонарушении, в 2023 - 60 дел</w:t>
      </w:r>
      <w:r>
        <w:rPr>
          <w:rFonts w:ascii="Tinos" w:eastAsia="Tinos" w:hAnsi="Tinos" w:cs="Tinos"/>
        </w:rPr>
        <w:t>»</w:t>
      </w:r>
      <w:r>
        <w:t>. </w:t>
      </w:r>
    </w:p>
    <w:p w:rsidR="00385C9F" w:rsidRDefault="00630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типичных нарушений законодательства о банкротстве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можно выделить: нарушение сроков опубликования в Едином федеральном реестре сведений о банкротстве и официальном издании</w:t>
      </w:r>
      <w:r>
        <w:rPr>
          <w:rFonts w:ascii="Times New Roman" w:hAnsi="Times New Roman" w:cs="Times New Roman"/>
          <w:sz w:val="28"/>
          <w:szCs w:val="28"/>
        </w:rPr>
        <w:t xml:space="preserve"> (газете «Коммерсантъ»)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сведений, предусмотренных законодательством о банкротстве; нарушение очередности удовлетворения требований кредиторов по текущим платежам; непредставление в суд, рассматривающий дело о банкротстве, отчетов о своей деяте</w:t>
      </w:r>
      <w:r>
        <w:rPr>
          <w:rFonts w:ascii="Times New Roman" w:hAnsi="Times New Roman" w:cs="Times New Roman"/>
          <w:sz w:val="28"/>
          <w:szCs w:val="28"/>
        </w:rPr>
        <w:t>льности (и иных документов), неполнота отраженных в отчете сведений; непринятие мер по исследованию имущественного положения супруга/супруги в целях формирования конкурсной массы должника; нарушение порядка выплаты прожиточного минимума должнику и лицам, н</w:t>
      </w:r>
      <w:r>
        <w:rPr>
          <w:rFonts w:ascii="Times New Roman" w:hAnsi="Times New Roman" w:cs="Times New Roman"/>
          <w:sz w:val="28"/>
          <w:szCs w:val="28"/>
        </w:rPr>
        <w:t>аходящимся на его иждивении.</w:t>
      </w:r>
    </w:p>
    <w:p w:rsidR="00385C9F" w:rsidRDefault="00385C9F">
      <w:pPr>
        <w:rPr>
          <w:rFonts w:ascii="Times New Roman" w:hAnsi="Times New Roman" w:cs="Times New Roman"/>
          <w:sz w:val="28"/>
          <w:szCs w:val="28"/>
        </w:rPr>
      </w:pPr>
    </w:p>
    <w:p w:rsidR="00385C9F" w:rsidRDefault="006300AD">
      <w:pPr>
        <w:pStyle w:val="afb"/>
        <w:spacing w:after="0" w:line="240" w:lineRule="auto"/>
        <w:ind w:left="0"/>
        <w:jc w:val="both"/>
        <w:rPr>
          <w:rFonts w:ascii="Times New Roman" w:hAnsi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 xml:space="preserve"> </w:t>
      </w:r>
    </w:p>
    <w:p w:rsidR="00385C9F" w:rsidRDefault="00385C9F">
      <w:pPr>
        <w:rPr>
          <w:rFonts w:ascii="Times New Roman" w:hAnsi="Times New Roman" w:cs="Times New Roman"/>
          <w:sz w:val="28"/>
          <w:szCs w:val="28"/>
        </w:rPr>
      </w:pPr>
    </w:p>
    <w:sectPr w:rsidR="0038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AD" w:rsidRDefault="006300AD">
      <w:pPr>
        <w:spacing w:after="0" w:line="240" w:lineRule="auto"/>
      </w:pPr>
      <w:r>
        <w:separator/>
      </w:r>
    </w:p>
  </w:endnote>
  <w:endnote w:type="continuationSeparator" w:id="0">
    <w:p w:rsidR="006300AD" w:rsidRDefault="0063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AD" w:rsidRDefault="006300AD">
      <w:pPr>
        <w:spacing w:after="0" w:line="240" w:lineRule="auto"/>
      </w:pPr>
      <w:r>
        <w:separator/>
      </w:r>
    </w:p>
  </w:footnote>
  <w:footnote w:type="continuationSeparator" w:id="0">
    <w:p w:rsidR="006300AD" w:rsidRDefault="0063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450"/>
    <w:multiLevelType w:val="hybridMultilevel"/>
    <w:tmpl w:val="3DD6CD98"/>
    <w:lvl w:ilvl="0" w:tplc="D4C63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B08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CC2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AAAD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3A5E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D61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3476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30A4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C8E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9F"/>
    <w:rsid w:val="00385C9F"/>
    <w:rsid w:val="00545AEC"/>
    <w:rsid w:val="006300AD"/>
    <w:rsid w:val="008D55F6"/>
    <w:rsid w:val="009C6175"/>
    <w:rsid w:val="00E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26F1"/>
  <w15:docId w15:val="{86361472-1822-49D5-81E1-C3C4FF7E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3">
    <w:name w:val="Основной текст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219</cp:revision>
  <dcterms:created xsi:type="dcterms:W3CDTF">2025-03-31T08:18:00Z</dcterms:created>
  <dcterms:modified xsi:type="dcterms:W3CDTF">2025-04-11T09:11:00Z</dcterms:modified>
</cp:coreProperties>
</file>