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3CE3008E" w14:textId="77777777" w:rsidR="004A1240" w:rsidRDefault="00A53884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0C182B">
        <w:rPr>
          <w:b/>
          <w:sz w:val="24"/>
          <w:szCs w:val="24"/>
        </w:rPr>
        <w:t xml:space="preserve"> </w:t>
      </w:r>
      <w:r w:rsidR="004A1240">
        <w:rPr>
          <w:b/>
          <w:sz w:val="24"/>
          <w:szCs w:val="24"/>
        </w:rPr>
        <w:t xml:space="preserve"> </w:t>
      </w:r>
      <w:r w:rsidR="004A1240">
        <w:rPr>
          <w:b/>
          <w:sz w:val="24"/>
          <w:szCs w:val="24"/>
        </w:rPr>
        <w:t xml:space="preserve">ДОГОВОР №  </w:t>
      </w:r>
    </w:p>
    <w:p w14:paraId="6B99234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6CEC0109" w14:textId="77777777" w:rsidR="004A1240" w:rsidRDefault="004A1240" w:rsidP="004A1240">
      <w:pPr>
        <w:jc w:val="center"/>
        <w:rPr>
          <w:b/>
          <w:sz w:val="24"/>
          <w:szCs w:val="24"/>
        </w:rPr>
      </w:pPr>
    </w:p>
    <w:p w14:paraId="34F09BCC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0D95BFBF" w14:textId="77777777" w:rsidR="004A1240" w:rsidRDefault="004A1240" w:rsidP="004A12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четвертого года</w:t>
      </w:r>
    </w:p>
    <w:p w14:paraId="44E9C5AC" w14:textId="77777777" w:rsidR="004A1240" w:rsidRDefault="004A1240" w:rsidP="004A1240">
      <w:pPr>
        <w:jc w:val="both"/>
        <w:rPr>
          <w:b/>
          <w:sz w:val="24"/>
          <w:szCs w:val="24"/>
        </w:rPr>
      </w:pPr>
    </w:p>
    <w:p w14:paraId="575135A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184C75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зарегистрированная(ый) по адресу: ______________________, паспорт _____ № ___________ выдан _____________, от ___________, код подразделения ___________, именуемая(ый)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администрации муниципального района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.ru</w:t>
        </w:r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3DDF8BB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3FF35FB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30C6C3DD" w14:textId="77777777" w:rsidR="004A1240" w:rsidRDefault="004A1240" w:rsidP="004A1240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5454BB6B" w14:textId="77777777" w:rsidR="004A1240" w:rsidRDefault="004A1240" w:rsidP="004A124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51A6D24F" w14:textId="77777777" w:rsidR="004A1240" w:rsidRDefault="004A1240" w:rsidP="004A1240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07DF03C2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119FE1E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3DAA05C7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3EAC79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79B3D9BF" w14:textId="77777777" w:rsidR="004A1240" w:rsidRDefault="004A1240" w:rsidP="004A1240">
      <w:pPr>
        <w:jc w:val="both"/>
        <w:rPr>
          <w:sz w:val="24"/>
          <w:szCs w:val="24"/>
        </w:rPr>
      </w:pPr>
    </w:p>
    <w:p w14:paraId="03B56442" w14:textId="77777777" w:rsidR="004A1240" w:rsidRDefault="004A1240" w:rsidP="004A1240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60D3F2C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3E16462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78D983C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 с учетом НДС,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E1628B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0325A6B7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6797BF7" w14:textId="77777777" w:rsidR="004A1240" w:rsidRDefault="004A1240" w:rsidP="004A1240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0D95A97F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419433CB" w14:textId="77777777" w:rsidR="004A1240" w:rsidRDefault="004A1240" w:rsidP="004A1240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6D93D799" w14:textId="77777777" w:rsidR="004A1240" w:rsidRDefault="004A1240" w:rsidP="004A1240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5BC2F527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6143BAA6" w14:textId="77777777" w:rsidR="004A1240" w:rsidRDefault="004A1240" w:rsidP="004A1240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7E5C5834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37B0C44B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13673F6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AF7F0D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14DF3835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527C0379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7A9E17F6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1E0A44DC" w14:textId="77777777" w:rsidR="004A1240" w:rsidRDefault="004A1240" w:rsidP="004A1240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Договора.</w:t>
      </w:r>
    </w:p>
    <w:p w14:paraId="0B007594" w14:textId="77777777" w:rsidR="004A1240" w:rsidRDefault="004A1240" w:rsidP="004A1240">
      <w:pPr>
        <w:jc w:val="both"/>
        <w:rPr>
          <w:sz w:val="24"/>
          <w:szCs w:val="24"/>
          <w:u w:val="single"/>
        </w:rPr>
      </w:pPr>
    </w:p>
    <w:p w14:paraId="2BAB7773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6C123198" w14:textId="77777777" w:rsidR="004A1240" w:rsidRDefault="004A1240" w:rsidP="004A1240">
      <w:pPr>
        <w:jc w:val="both"/>
        <w:rPr>
          <w:sz w:val="24"/>
          <w:szCs w:val="24"/>
        </w:rPr>
      </w:pPr>
    </w:p>
    <w:p w14:paraId="1105849D" w14:textId="77777777" w:rsidR="004A1240" w:rsidRDefault="004A1240" w:rsidP="004A1240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BBD403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46548AB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345B66ED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31886C03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9A487BB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17F7E634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1C47277E" w14:textId="77777777" w:rsidR="004A1240" w:rsidRDefault="004A1240" w:rsidP="004A1240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0C2D500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D726518" w14:textId="77777777" w:rsidR="004A1240" w:rsidRDefault="004A1240" w:rsidP="004A1240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289D52EA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682A4F7" w14:textId="77777777" w:rsidR="004A1240" w:rsidRDefault="004A1240" w:rsidP="004A1240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CFF55EC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7A900F6E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</w:t>
      </w:r>
      <w:r>
        <w:rPr>
          <w:sz w:val="24"/>
          <w:szCs w:val="24"/>
        </w:rPr>
        <w:lastRenderedPageBreak/>
        <w:t>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03ACE0DB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1A3AE8A2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60FB55BB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514E0B2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2CFCC68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8584BC1" w14:textId="77777777" w:rsidR="004A1240" w:rsidRDefault="004A1240" w:rsidP="004A1240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6E5F25D8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533BBDB0" w14:textId="77777777" w:rsidR="004A1240" w:rsidRDefault="004A1240" w:rsidP="004A1240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35E8EA45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43703108" w14:textId="77777777" w:rsidR="004A1240" w:rsidRDefault="004A1240" w:rsidP="004A1240">
      <w:pPr>
        <w:numPr>
          <w:ilvl w:val="0"/>
          <w:numId w:val="12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4215E33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CB975C3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51E7A510" w14:textId="77777777" w:rsidR="004A1240" w:rsidRDefault="004A1240" w:rsidP="004A1240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A1240" w14:paraId="3286043D" w14:textId="77777777" w:rsidTr="004A1240">
        <w:trPr>
          <w:trHeight w:val="2131"/>
        </w:trPr>
        <w:tc>
          <w:tcPr>
            <w:tcW w:w="4644" w:type="dxa"/>
          </w:tcPr>
          <w:p w14:paraId="3EB42DE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2150ED21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Комитет по управлению муниципаль-</w:t>
            </w:r>
          </w:p>
          <w:p w14:paraId="38A5BD0B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49520F5C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6C24176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3FA1F81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43B6B2EA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2FA95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25278D2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 - НБ Республика Коми банка России//УФК по Республике Коми </w:t>
            </w:r>
          </w:p>
          <w:p w14:paraId="60F200D4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3F16BEA0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669BD26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2E35778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69F43D9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06FAD0F3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F2EC115" w14:textId="77777777" w:rsidR="004A1240" w:rsidRDefault="004A1240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1FB2356C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12B82E3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3ED13CA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7C11DD76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</w:p>
          <w:p w14:paraId="5469FA8B" w14:textId="77777777" w:rsidR="004A1240" w:rsidRDefault="004A1240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00BD77F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ИНН/КПП  ________________</w:t>
            </w:r>
          </w:p>
          <w:p w14:paraId="7FAF436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ОРГН _________________</w:t>
            </w:r>
          </w:p>
          <w:p w14:paraId="01B97AA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3A2E22F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ACC0189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F63DB2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4DB6713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00DF9B4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33131E6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5437A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6E78EC8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C5D6055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5454FE7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7F174581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AD257FB" w14:textId="77777777" w:rsidR="004A1240" w:rsidRDefault="004A1240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5A5D59A5" w14:textId="77777777" w:rsidR="004A1240" w:rsidRDefault="004A1240" w:rsidP="004A1240">
      <w:pPr>
        <w:rPr>
          <w:i/>
          <w:szCs w:val="26"/>
        </w:rPr>
      </w:pPr>
    </w:p>
    <w:p w14:paraId="7BEB68CA" w14:textId="5C9B0BF5" w:rsidR="00284BCF" w:rsidRDefault="00284BCF" w:rsidP="004A1240">
      <w:pPr>
        <w:jc w:val="center"/>
      </w:pPr>
      <w:bookmarkStart w:id="2" w:name="_GoBack"/>
      <w:bookmarkEnd w:id="2"/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0C182B"/>
    <w:rsid w:val="00284BCF"/>
    <w:rsid w:val="00310278"/>
    <w:rsid w:val="00322E1B"/>
    <w:rsid w:val="00426421"/>
    <w:rsid w:val="00490F72"/>
    <w:rsid w:val="004A1240"/>
    <w:rsid w:val="00772396"/>
    <w:rsid w:val="00815E4D"/>
    <w:rsid w:val="00A53884"/>
    <w:rsid w:val="00A83072"/>
    <w:rsid w:val="00BB5B5A"/>
    <w:rsid w:val="00C9307F"/>
    <w:rsid w:val="00D61226"/>
    <w:rsid w:val="00F35D83"/>
    <w:rsid w:val="00F6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1795</Words>
  <Characters>10235</Characters>
  <Application>Microsoft Office Word</Application>
  <DocSecurity>0</DocSecurity>
  <Lines>85</Lines>
  <Paragraphs>24</Paragraphs>
  <ScaleCrop>false</ScaleCrop>
  <Company/>
  <LinksUpToDate>false</LinksUpToDate>
  <CharactersWithSpaces>12006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22</cp:revision>
  <dcterms:created xsi:type="dcterms:W3CDTF">2019-07-15T17:41:00Z</dcterms:created>
  <dcterms:modified xsi:type="dcterms:W3CDTF">2024-10-03T14:31:00Z</dcterms:modified>
</cp:coreProperties>
</file>